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18" w:rsidRPr="00CC2118" w:rsidRDefault="00CC2118" w:rsidP="007354F2">
      <w:pPr>
        <w:rPr>
          <w:rFonts w:cstheme="minorHAnsi"/>
          <w:highlight w:val="yellow"/>
          <w:u w:val="single"/>
        </w:rPr>
      </w:pPr>
      <w:r>
        <w:rPr>
          <w:rFonts w:cstheme="minorHAnsi"/>
        </w:rPr>
        <w:t>TO:</w:t>
      </w:r>
      <w:r>
        <w:rPr>
          <w:rFonts w:cstheme="minorHAnsi"/>
        </w:rPr>
        <w:tab/>
      </w:r>
      <w:r w:rsidRPr="00CC2118">
        <w:rPr>
          <w:rFonts w:cstheme="minorHAnsi"/>
          <w:highlight w:val="yellow"/>
          <w:u w:val="single"/>
        </w:rPr>
        <w:t>PUBLIC School District</w:t>
      </w:r>
      <w:r w:rsidRPr="00CC2118">
        <w:rPr>
          <w:rFonts w:cstheme="minorHAnsi"/>
          <w:highlight w:val="yellow"/>
          <w:u w:val="single"/>
        </w:rPr>
        <w:t xml:space="preserve"> Board of Education Members</w:t>
      </w:r>
    </w:p>
    <w:p w:rsidR="00CC2118" w:rsidRPr="00CC2118" w:rsidRDefault="00CC2118" w:rsidP="00CC2118">
      <w:pPr>
        <w:ind w:firstLine="720"/>
        <w:rPr>
          <w:rFonts w:cstheme="minorHAnsi"/>
          <w:highlight w:val="yellow"/>
          <w:u w:val="single"/>
        </w:rPr>
      </w:pPr>
      <w:r w:rsidRPr="00CC2118">
        <w:rPr>
          <w:rFonts w:cstheme="minorHAnsi"/>
          <w:highlight w:val="yellow"/>
          <w:u w:val="single"/>
        </w:rPr>
        <w:t>Superintendent</w:t>
      </w:r>
      <w:bookmarkStart w:id="0" w:name="_GoBack"/>
      <w:bookmarkEnd w:id="0"/>
    </w:p>
    <w:p w:rsidR="00CC2118" w:rsidRDefault="00CC2118" w:rsidP="00CC2118">
      <w:pPr>
        <w:rPr>
          <w:rFonts w:cstheme="minorHAnsi"/>
          <w:u w:val="single"/>
        </w:rPr>
      </w:pPr>
      <w:r>
        <w:rPr>
          <w:rFonts w:cstheme="minorHAnsi"/>
        </w:rPr>
        <w:t>CC:</w:t>
      </w:r>
      <w:r w:rsidRPr="00CC2118">
        <w:rPr>
          <w:rFonts w:cstheme="minorHAnsi"/>
        </w:rPr>
        <w:tab/>
      </w:r>
      <w:r w:rsidRPr="00CC2118">
        <w:rPr>
          <w:rFonts w:cstheme="minorHAnsi"/>
          <w:highlight w:val="yellow"/>
          <w:u w:val="single"/>
        </w:rPr>
        <w:t>Mayor</w:t>
      </w:r>
      <w:r>
        <w:rPr>
          <w:rFonts w:cstheme="minorHAnsi"/>
          <w:highlight w:val="yellow"/>
          <w:u w:val="single"/>
        </w:rPr>
        <w:t>/ 1</w:t>
      </w:r>
      <w:r w:rsidRPr="00CC2118">
        <w:rPr>
          <w:rFonts w:cstheme="minorHAnsi"/>
          <w:highlight w:val="yellow"/>
          <w:u w:val="single"/>
          <w:vertAlign w:val="superscript"/>
        </w:rPr>
        <w:t>st</w:t>
      </w:r>
      <w:r>
        <w:rPr>
          <w:rFonts w:cstheme="minorHAnsi"/>
          <w:highlight w:val="yellow"/>
          <w:u w:val="single"/>
        </w:rPr>
        <w:t xml:space="preserve"> Selectman/Town Board of Directors</w:t>
      </w:r>
    </w:p>
    <w:p w:rsidR="00CC2118" w:rsidRDefault="00CC2118" w:rsidP="00CC2118">
      <w:pPr>
        <w:ind w:firstLine="720"/>
        <w:rPr>
          <w:rFonts w:cstheme="minorHAnsi"/>
        </w:rPr>
      </w:pPr>
      <w:r w:rsidRPr="00947A0D">
        <w:rPr>
          <w:rFonts w:cstheme="minorHAnsi"/>
          <w:highlight w:val="yellow"/>
          <w:u w:val="single"/>
        </w:rPr>
        <w:t>Town CITY</w:t>
      </w:r>
      <w:r w:rsidR="00257E04" w:rsidRPr="00947A0D">
        <w:rPr>
          <w:rFonts w:cstheme="minorHAnsi"/>
          <w:highlight w:val="yellow"/>
          <w:u w:val="single"/>
        </w:rPr>
        <w:t>/</w:t>
      </w:r>
      <w:r w:rsidRPr="00947A0D">
        <w:rPr>
          <w:rFonts w:cstheme="minorHAnsi"/>
          <w:highlight w:val="yellow"/>
          <w:u w:val="single"/>
        </w:rPr>
        <w:t>Business Manager</w:t>
      </w:r>
      <w:r>
        <w:rPr>
          <w:rFonts w:cstheme="minorHAnsi"/>
          <w:u w:val="single"/>
        </w:rPr>
        <w:t xml:space="preserve"> </w:t>
      </w:r>
    </w:p>
    <w:p w:rsidR="00CC2118" w:rsidRDefault="00CC2118" w:rsidP="007354F2">
      <w:pPr>
        <w:rPr>
          <w:rFonts w:cstheme="minorHAnsi"/>
        </w:rPr>
      </w:pPr>
      <w:r>
        <w:rPr>
          <w:rFonts w:cstheme="minorHAnsi"/>
        </w:rPr>
        <w:t xml:space="preserve">FROM:  </w:t>
      </w:r>
      <w:r>
        <w:rPr>
          <w:rFonts w:cstheme="minorHAnsi"/>
          <w:highlight w:val="yellow"/>
        </w:rPr>
        <w:t>Principal, C</w:t>
      </w:r>
      <w:r w:rsidRPr="00CC2118">
        <w:rPr>
          <w:rFonts w:cstheme="minorHAnsi"/>
          <w:highlight w:val="yellow"/>
        </w:rPr>
        <w:t>atholic School</w:t>
      </w:r>
    </w:p>
    <w:p w:rsidR="00CC2118" w:rsidRDefault="00CC2118" w:rsidP="007354F2">
      <w:pPr>
        <w:rPr>
          <w:rFonts w:cstheme="minorHAnsi"/>
        </w:rPr>
      </w:pPr>
      <w:r>
        <w:rPr>
          <w:rFonts w:cstheme="minorHAnsi"/>
        </w:rPr>
        <w:t xml:space="preserve">RE: </w:t>
      </w:r>
      <w:r>
        <w:rPr>
          <w:rFonts w:cstheme="minorHAnsi"/>
        </w:rPr>
        <w:tab/>
        <w:t>CARES Act Education Stability Funds Allocation to Equitable Services for Non-Public Schools</w:t>
      </w:r>
    </w:p>
    <w:p w:rsidR="00CC2118" w:rsidRDefault="00CC2118" w:rsidP="007354F2">
      <w:pPr>
        <w:rPr>
          <w:rFonts w:cstheme="minorHAnsi"/>
        </w:rPr>
      </w:pPr>
      <w:r>
        <w:rPr>
          <w:rFonts w:cstheme="minorHAnsi"/>
        </w:rPr>
        <w:t xml:space="preserve">Date: </w:t>
      </w:r>
      <w:r>
        <w:rPr>
          <w:rFonts w:cstheme="minorHAnsi"/>
        </w:rPr>
        <w:tab/>
        <w:t>May 14, 2020</w:t>
      </w:r>
    </w:p>
    <w:p w:rsidR="00CC2118" w:rsidRDefault="00CC2118" w:rsidP="007354F2">
      <w:pPr>
        <w:rPr>
          <w:rFonts w:cstheme="minorHAnsi"/>
        </w:rPr>
      </w:pPr>
    </w:p>
    <w:p w:rsidR="007354F2" w:rsidRPr="00CC2118" w:rsidRDefault="007354F2" w:rsidP="007354F2">
      <w:pPr>
        <w:rPr>
          <w:rFonts w:cstheme="minorHAnsi"/>
        </w:rPr>
      </w:pPr>
      <w:r w:rsidRPr="00CC2118">
        <w:rPr>
          <w:rFonts w:cstheme="minorHAnsi"/>
        </w:rPr>
        <w:t>Dear Board of Education Members, Superintendent, and Mayor:</w:t>
      </w:r>
    </w:p>
    <w:p w:rsidR="007354F2" w:rsidRPr="00CC2118" w:rsidRDefault="007354F2" w:rsidP="007354F2">
      <w:pPr>
        <w:rPr>
          <w:rFonts w:cstheme="minorHAnsi"/>
        </w:rPr>
      </w:pPr>
      <w:r w:rsidRPr="00CC2118">
        <w:rPr>
          <w:rFonts w:cstheme="minorHAnsi"/>
        </w:rPr>
        <w:t xml:space="preserve">As you know, all school superintendents, principals, and teachers have been working tirelessly to help students through distance learning, and the CARES ACT education funds are now available to facilitate their efforts.  Also, the funds will help prepare school facilities for the return of students in the fall, whether through sanitization or purchase of appropriate health supplies.   </w:t>
      </w:r>
    </w:p>
    <w:p w:rsidR="00863F25" w:rsidRPr="00CC2118" w:rsidRDefault="00257E04" w:rsidP="007354F2">
      <w:pPr>
        <w:rPr>
          <w:rFonts w:cstheme="minorHAnsi"/>
        </w:rPr>
      </w:pPr>
      <w:r>
        <w:rPr>
          <w:rFonts w:cstheme="minorHAnsi"/>
        </w:rPr>
        <w:t xml:space="preserve">Included in the CARES ACT, </w:t>
      </w:r>
      <w:hyperlink w:anchor="esf" w:history="1">
        <w:r w:rsidRPr="004A4704">
          <w:rPr>
            <w:rStyle w:val="Hyperlink"/>
            <w:rFonts w:cstheme="minorHAnsi"/>
            <w:i/>
          </w:rPr>
          <w:t>Education Stab</w:t>
        </w:r>
        <w:r w:rsidRPr="004A4704">
          <w:rPr>
            <w:rStyle w:val="Hyperlink"/>
            <w:rFonts w:cstheme="minorHAnsi"/>
            <w:i/>
          </w:rPr>
          <w:t>i</w:t>
        </w:r>
        <w:r w:rsidRPr="004A4704">
          <w:rPr>
            <w:rStyle w:val="Hyperlink"/>
            <w:rFonts w:cstheme="minorHAnsi"/>
            <w:i/>
          </w:rPr>
          <w:t xml:space="preserve">lization Fund under H.R.748 — 116th </w:t>
        </w:r>
        <w:r w:rsidRPr="004A4704">
          <w:rPr>
            <w:rStyle w:val="Hyperlink"/>
            <w:rFonts w:cstheme="minorHAnsi"/>
            <w:i/>
          </w:rPr>
          <w:t>C</w:t>
        </w:r>
        <w:r w:rsidRPr="004A4704">
          <w:rPr>
            <w:rStyle w:val="Hyperlink"/>
            <w:rFonts w:cstheme="minorHAnsi"/>
            <w:i/>
          </w:rPr>
          <w:t>ongress 2</w:t>
        </w:r>
        <w:r w:rsidRPr="004A4704">
          <w:rPr>
            <w:rStyle w:val="Hyperlink"/>
            <w:rFonts w:cstheme="minorHAnsi"/>
            <w:i/>
            <w:vertAlign w:val="superscript"/>
          </w:rPr>
          <w:t>nd</w:t>
        </w:r>
        <w:r w:rsidRPr="004A4704">
          <w:rPr>
            <w:rStyle w:val="Hyperlink"/>
            <w:rFonts w:cstheme="minorHAnsi"/>
            <w:i/>
          </w:rPr>
          <w:t xml:space="preserve"> Session</w:t>
        </w:r>
      </w:hyperlink>
      <w:r>
        <w:rPr>
          <w:rFonts w:cstheme="minorHAnsi"/>
        </w:rPr>
        <w:t xml:space="preserve">, </w:t>
      </w:r>
      <w:r w:rsidR="007354F2" w:rsidRPr="00CC2118">
        <w:rPr>
          <w:rFonts w:cstheme="minorHAnsi"/>
        </w:rPr>
        <w:t>is a mandatory provision for equitable services for nonpublic schools, and the U.S. Department of Education Office of Non-Public Education has shared its guidance on the necessary consultation and calculation of funds allotted to these services.  To be sure, this is not a Title I program, and the calculations are dif</w:t>
      </w:r>
      <w:r w:rsidR="00863F25" w:rsidRPr="00CC2118">
        <w:rPr>
          <w:rFonts w:cstheme="minorHAnsi"/>
        </w:rPr>
        <w:t xml:space="preserve">ferent.  On behalf of </w:t>
      </w:r>
      <w:r w:rsidR="007354F2" w:rsidRPr="00CC2118">
        <w:rPr>
          <w:rFonts w:cstheme="minorHAnsi"/>
          <w:highlight w:val="yellow"/>
          <w:u w:val="single"/>
        </w:rPr>
        <w:t>Ca</w:t>
      </w:r>
      <w:r w:rsidR="00863F25" w:rsidRPr="00CC2118">
        <w:rPr>
          <w:rFonts w:cstheme="minorHAnsi"/>
          <w:highlight w:val="yellow"/>
          <w:u w:val="single"/>
        </w:rPr>
        <w:t>tholic S</w:t>
      </w:r>
      <w:r w:rsidR="007354F2" w:rsidRPr="00CC2118">
        <w:rPr>
          <w:rFonts w:cstheme="minorHAnsi"/>
          <w:highlight w:val="yellow"/>
          <w:u w:val="single"/>
        </w:rPr>
        <w:t>chool</w:t>
      </w:r>
      <w:r w:rsidR="007354F2" w:rsidRPr="00CC2118">
        <w:rPr>
          <w:rFonts w:cstheme="minorHAnsi"/>
        </w:rPr>
        <w:t>, m</w:t>
      </w:r>
      <w:r w:rsidR="00863F25" w:rsidRPr="00CC2118">
        <w:rPr>
          <w:rFonts w:cstheme="minorHAnsi"/>
        </w:rPr>
        <w:t xml:space="preserve">y hope is that </w:t>
      </w:r>
      <w:r w:rsidR="00863F25" w:rsidRPr="00CC2118">
        <w:rPr>
          <w:rFonts w:cstheme="minorHAnsi"/>
          <w:highlight w:val="yellow"/>
          <w:u w:val="single"/>
        </w:rPr>
        <w:t>PUBLIC</w:t>
      </w:r>
      <w:r w:rsidR="007354F2" w:rsidRPr="00CC2118">
        <w:rPr>
          <w:rFonts w:cstheme="minorHAnsi"/>
          <w:highlight w:val="yellow"/>
          <w:u w:val="single"/>
        </w:rPr>
        <w:t xml:space="preserve"> School District</w:t>
      </w:r>
      <w:r w:rsidR="007354F2" w:rsidRPr="00CC2118">
        <w:rPr>
          <w:rFonts w:cstheme="minorHAnsi"/>
        </w:rPr>
        <w:t xml:space="preserve"> </w:t>
      </w:r>
      <w:r w:rsidR="007354F2" w:rsidRPr="00CC2118">
        <w:rPr>
          <w:rFonts w:cstheme="minorHAnsi"/>
        </w:rPr>
        <w:t>will continue to work collaboratively</w:t>
      </w:r>
      <w:r w:rsidR="007354F2" w:rsidRPr="00CC2118">
        <w:rPr>
          <w:rFonts w:cstheme="minorHAnsi"/>
        </w:rPr>
        <w:t xml:space="preserve"> with us</w:t>
      </w:r>
      <w:r w:rsidR="007354F2" w:rsidRPr="00CC2118">
        <w:rPr>
          <w:rFonts w:cstheme="minorHAnsi"/>
        </w:rPr>
        <w:t xml:space="preserve"> to ensure the best education for all students in these unprecedented times.</w:t>
      </w:r>
      <w:r w:rsidR="00863F25" w:rsidRPr="00CC2118">
        <w:rPr>
          <w:rFonts w:cstheme="minorHAnsi"/>
        </w:rPr>
        <w:t xml:space="preserve">  </w:t>
      </w:r>
    </w:p>
    <w:p w:rsidR="007354F2" w:rsidRPr="00CC2118" w:rsidRDefault="00863F25" w:rsidP="007354F2">
      <w:pPr>
        <w:rPr>
          <w:rFonts w:eastAsia="Times New Roman" w:cstheme="minorHAnsi"/>
          <w:color w:val="000000"/>
        </w:rPr>
      </w:pPr>
      <w:r w:rsidRPr="00CC2118">
        <w:rPr>
          <w:rFonts w:cstheme="minorHAnsi"/>
        </w:rPr>
        <w:t xml:space="preserve">In anticipation of your consultation call with me and my administrators regarding the equitable services to be provided, I am providing you with the federal guidance on from the U.S. Department of Education Office of Non-Public Education: </w:t>
      </w:r>
      <w:hyperlink r:id="rId7" w:tgtFrame="_blank" w:tooltip="Ctrl+Click to follow link" w:history="1">
        <w:r w:rsidR="007354F2" w:rsidRPr="00947A0D">
          <w:rPr>
            <w:rStyle w:val="Hyperlink"/>
            <w:rFonts w:eastAsia="Times New Roman" w:cstheme="minorHAnsi"/>
          </w:rPr>
          <w:t>https://oese.ed.gov/files/2020/04/FAQs-Equitable-S</w:t>
        </w:r>
        <w:r w:rsidR="007354F2" w:rsidRPr="00947A0D">
          <w:rPr>
            <w:rStyle w:val="Hyperlink"/>
            <w:rFonts w:eastAsia="Times New Roman" w:cstheme="minorHAnsi"/>
          </w:rPr>
          <w:t>e</w:t>
        </w:r>
        <w:r w:rsidR="007354F2" w:rsidRPr="00947A0D">
          <w:rPr>
            <w:rStyle w:val="Hyperlink"/>
            <w:rFonts w:eastAsia="Times New Roman" w:cstheme="minorHAnsi"/>
          </w:rPr>
          <w:t>rvices.pdf</w:t>
        </w:r>
      </w:hyperlink>
      <w:r w:rsidR="00947A0D">
        <w:rPr>
          <w:rFonts w:eastAsia="Times New Roman" w:cstheme="minorHAnsi"/>
          <w:color w:val="000000"/>
        </w:rPr>
        <w:t xml:space="preserve"> .</w:t>
      </w:r>
    </w:p>
    <w:p w:rsidR="004A4704" w:rsidRDefault="00863F25" w:rsidP="007354F2">
      <w:pPr>
        <w:rPr>
          <w:rFonts w:cstheme="minorHAnsi"/>
        </w:rPr>
      </w:pPr>
      <w:r w:rsidRPr="00CC2118">
        <w:rPr>
          <w:rFonts w:eastAsia="Times New Roman" w:cstheme="minorHAnsi"/>
          <w:color w:val="000000"/>
        </w:rPr>
        <w:t xml:space="preserve">The guidance walks through the allocation of funds from the </w:t>
      </w:r>
      <w:r w:rsidRPr="00257E04">
        <w:rPr>
          <w:rFonts w:eastAsia="Times New Roman" w:cstheme="minorHAnsi"/>
          <w:color w:val="000000"/>
          <w:highlight w:val="yellow"/>
        </w:rPr>
        <w:t>PUBLIC SCHOOL DISTRICT</w:t>
      </w:r>
      <w:r w:rsidRPr="00CC2118">
        <w:rPr>
          <w:rFonts w:eastAsia="Times New Roman" w:cstheme="minorHAnsi"/>
          <w:color w:val="000000"/>
        </w:rPr>
        <w:t xml:space="preserve"> to services provided for </w:t>
      </w:r>
      <w:r w:rsidRPr="00CC2118">
        <w:rPr>
          <w:rFonts w:cstheme="minorHAnsi"/>
          <w:highlight w:val="yellow"/>
          <w:u w:val="single"/>
        </w:rPr>
        <w:t>Catholic School</w:t>
      </w:r>
      <w:r w:rsidRPr="00CC2118">
        <w:rPr>
          <w:rFonts w:cstheme="minorHAnsi"/>
        </w:rPr>
        <w:t xml:space="preserve"> students and teachers.</w:t>
      </w:r>
      <w:r w:rsidR="00257E04">
        <w:rPr>
          <w:rFonts w:cstheme="minorHAnsi"/>
        </w:rPr>
        <w:t xml:space="preserve">  Please find below the major highlights</w:t>
      </w:r>
      <w:r w:rsidR="00CC2118">
        <w:rPr>
          <w:rFonts w:cstheme="minorHAnsi"/>
        </w:rPr>
        <w:t xml:space="preserve"> on </w:t>
      </w:r>
      <w:r w:rsidR="00257E04">
        <w:rPr>
          <w:rFonts w:cstheme="minorHAnsi"/>
        </w:rPr>
        <w:t>allowable equitable services and</w:t>
      </w:r>
      <w:r w:rsidR="00CC2118">
        <w:rPr>
          <w:rFonts w:cstheme="minorHAnsi"/>
        </w:rPr>
        <w:t xml:space="preserve"> allocation of </w:t>
      </w:r>
      <w:r w:rsidR="00257E04">
        <w:rPr>
          <w:rFonts w:cstheme="minorHAnsi"/>
        </w:rPr>
        <w:t>funds for those services.</w:t>
      </w:r>
    </w:p>
    <w:p w:rsidR="004A4704" w:rsidRDefault="004A4704" w:rsidP="004A4704">
      <w:pPr>
        <w:rPr>
          <w:rFonts w:cstheme="minorHAnsi"/>
        </w:rPr>
      </w:pPr>
      <w:r>
        <w:rPr>
          <w:rFonts w:cstheme="minorHAnsi"/>
        </w:rPr>
        <w:t xml:space="preserve">I look forward to our consultation that will be initiated by you.  You can reach me at:  </w:t>
      </w:r>
      <w:r w:rsidRPr="004A4704">
        <w:rPr>
          <w:rFonts w:cstheme="minorHAnsi"/>
          <w:highlight w:val="yellow"/>
        </w:rPr>
        <w:t>email, cell phone/office phone.</w:t>
      </w:r>
    </w:p>
    <w:p w:rsidR="004A4704" w:rsidRDefault="004A4704" w:rsidP="004A4704">
      <w:pPr>
        <w:rPr>
          <w:rFonts w:cstheme="minorHAnsi"/>
        </w:rPr>
      </w:pPr>
    </w:p>
    <w:p w:rsidR="004A4704" w:rsidRDefault="004A4704" w:rsidP="004A4704">
      <w:pPr>
        <w:rPr>
          <w:rFonts w:cstheme="minorHAnsi"/>
        </w:rPr>
      </w:pPr>
      <w:r>
        <w:rPr>
          <w:rFonts w:cstheme="minorHAnsi"/>
        </w:rPr>
        <w:t>Sincerely,</w:t>
      </w:r>
    </w:p>
    <w:p w:rsidR="004A4704" w:rsidRDefault="004A4704" w:rsidP="004A4704">
      <w:pPr>
        <w:rPr>
          <w:rFonts w:cstheme="minorHAnsi"/>
        </w:rPr>
      </w:pPr>
      <w:r>
        <w:rPr>
          <w:rFonts w:cstheme="minorHAnsi"/>
          <w:highlight w:val="yellow"/>
        </w:rPr>
        <w:t>Principal, C</w:t>
      </w:r>
      <w:r w:rsidRPr="00CC2118">
        <w:rPr>
          <w:rFonts w:cstheme="minorHAnsi"/>
          <w:highlight w:val="yellow"/>
        </w:rPr>
        <w:t>atholic School</w:t>
      </w:r>
    </w:p>
    <w:p w:rsidR="004A4704" w:rsidRDefault="004A4704" w:rsidP="007354F2">
      <w:pPr>
        <w:rPr>
          <w:rFonts w:cstheme="minorHAnsi"/>
        </w:rPr>
      </w:pPr>
    </w:p>
    <w:p w:rsidR="004A4704" w:rsidRDefault="004A4704" w:rsidP="007354F2">
      <w:pPr>
        <w:rPr>
          <w:rFonts w:cstheme="minorHAnsi"/>
        </w:rPr>
      </w:pPr>
    </w:p>
    <w:p w:rsidR="004A4704" w:rsidRDefault="004A4704" w:rsidP="004A4704">
      <w:pPr>
        <w:tabs>
          <w:tab w:val="center" w:pos="4680"/>
        </w:tabs>
        <w:rPr>
          <w:rFonts w:cstheme="minorHAnsi"/>
        </w:rPr>
      </w:pPr>
    </w:p>
    <w:p w:rsidR="007354F2" w:rsidRPr="004A4704" w:rsidRDefault="007354F2" w:rsidP="004A4704">
      <w:pPr>
        <w:pStyle w:val="ListParagraph"/>
        <w:numPr>
          <w:ilvl w:val="0"/>
          <w:numId w:val="7"/>
        </w:numPr>
        <w:tabs>
          <w:tab w:val="center" w:pos="4680"/>
        </w:tabs>
        <w:rPr>
          <w:rFonts w:eastAsia="Times New Roman" w:cstheme="minorHAnsi"/>
          <w:b/>
          <w:color w:val="000000"/>
          <w:u w:val="single"/>
        </w:rPr>
      </w:pPr>
      <w:r w:rsidRPr="004A4704">
        <w:rPr>
          <w:rFonts w:eastAsia="Times New Roman" w:cstheme="minorHAnsi"/>
          <w:b/>
          <w:color w:val="000000"/>
          <w:u w:val="single"/>
        </w:rPr>
        <w:lastRenderedPageBreak/>
        <w:t>Allowable Equitable Services</w:t>
      </w:r>
    </w:p>
    <w:p w:rsidR="004A4704" w:rsidRPr="004A4704" w:rsidRDefault="004A4704" w:rsidP="004A4704">
      <w:pPr>
        <w:pStyle w:val="ListParagraph"/>
        <w:tabs>
          <w:tab w:val="center" w:pos="4680"/>
        </w:tabs>
        <w:rPr>
          <w:rFonts w:eastAsia="Times New Roman" w:cstheme="minorHAnsi"/>
          <w:b/>
          <w:color w:val="000000"/>
          <w:u w:val="single"/>
        </w:rPr>
      </w:pP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Allowable</w:t>
      </w:r>
      <w:r w:rsidRPr="004A4704">
        <w:rPr>
          <w:rFonts w:eastAsia="Times New Roman" w:cstheme="minorHAnsi"/>
          <w:color w:val="000000"/>
          <w:sz w:val="20"/>
          <w:szCs w:val="20"/>
        </w:rPr>
        <w:t xml:space="preserve"> equitable</w:t>
      </w:r>
      <w:r w:rsidRPr="004A4704">
        <w:rPr>
          <w:rFonts w:eastAsia="Times New Roman" w:cstheme="minorHAnsi"/>
          <w:color w:val="000000"/>
          <w:sz w:val="20"/>
          <w:szCs w:val="20"/>
        </w:rPr>
        <w:t xml:space="preserve"> services under Section 18003(d) of the CARES Act:</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(1) 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 Vento Homeless Assistance Act (42 U.S.C. 11431 et seq.).</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(2)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(3) Providing principals and others school leaders with the resources necessary to address the needs of their individual schools.</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(4)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(5) Developing and implementing procedures and systems to improve the preparedness and response efforts of local educational agencies.</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(6) Training and professional development for staff of the local educational agency on sanitation and minimizing the spread of infectious diseases.</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(7) Purchasing supplies to sanitize and clean the facilities of a local educational agency, including buildings operated by such agency.</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(8) 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10 seq.) and how to ensure other educational services can continue to be provided consistent with all Federal,</w:t>
      </w:r>
      <w:r w:rsidRPr="004A4704">
        <w:rPr>
          <w:rFonts w:eastAsia="Times New Roman" w:cstheme="minorHAnsi"/>
          <w:color w:val="000000"/>
          <w:sz w:val="20"/>
          <w:szCs w:val="20"/>
        </w:rPr>
        <w:t xml:space="preserve"> </w:t>
      </w:r>
      <w:r w:rsidRPr="004A4704">
        <w:rPr>
          <w:rFonts w:eastAsia="Times New Roman" w:cstheme="minorHAnsi"/>
          <w:color w:val="000000"/>
          <w:sz w:val="20"/>
          <w:szCs w:val="20"/>
        </w:rPr>
        <w:t>State, and local requirements.</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(9)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(10) Providing mental health services and supports.</w:t>
      </w:r>
    </w:p>
    <w:p w:rsidR="007354F2" w:rsidRPr="004A4704" w:rsidRDefault="007354F2" w:rsidP="007354F2">
      <w:pPr>
        <w:rPr>
          <w:rFonts w:eastAsia="Times New Roman" w:cstheme="minorHAnsi"/>
          <w:color w:val="000000"/>
          <w:sz w:val="20"/>
          <w:szCs w:val="20"/>
        </w:rPr>
      </w:pPr>
      <w:r w:rsidRPr="004A4704">
        <w:rPr>
          <w:rFonts w:eastAsia="Times New Roman" w:cstheme="minorHAnsi"/>
          <w:color w:val="000000"/>
          <w:sz w:val="20"/>
          <w:szCs w:val="20"/>
        </w:rPr>
        <w:t>(11) 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rsidR="007354F2" w:rsidRDefault="007354F2" w:rsidP="007354F2">
      <w:pPr>
        <w:rPr>
          <w:rFonts w:eastAsia="Times New Roman" w:cstheme="minorHAnsi"/>
          <w:color w:val="000000"/>
          <w:sz w:val="20"/>
          <w:szCs w:val="20"/>
        </w:rPr>
      </w:pPr>
      <w:r w:rsidRPr="004A4704">
        <w:rPr>
          <w:rFonts w:eastAsia="Times New Roman" w:cstheme="minorHAnsi"/>
          <w:color w:val="000000"/>
          <w:sz w:val="20"/>
          <w:szCs w:val="20"/>
        </w:rPr>
        <w:t>(12) Other activities that are necessary to maintain the operation of and continuity of services in local educational agencies and continuing to employ existing staff of the local educational agency.</w:t>
      </w:r>
    </w:p>
    <w:p w:rsidR="004A4704" w:rsidRDefault="004A4704" w:rsidP="007354F2">
      <w:pPr>
        <w:rPr>
          <w:rFonts w:eastAsia="Times New Roman" w:cstheme="minorHAnsi"/>
          <w:color w:val="000000"/>
          <w:sz w:val="20"/>
          <w:szCs w:val="20"/>
        </w:rPr>
      </w:pPr>
    </w:p>
    <w:p w:rsidR="004A4704" w:rsidRPr="004A4704" w:rsidRDefault="004A4704" w:rsidP="007354F2">
      <w:pPr>
        <w:rPr>
          <w:rFonts w:eastAsia="Times New Roman" w:cstheme="minorHAnsi"/>
          <w:color w:val="000000"/>
          <w:sz w:val="20"/>
          <w:szCs w:val="20"/>
        </w:rPr>
      </w:pPr>
    </w:p>
    <w:p w:rsidR="007354F2" w:rsidRPr="004A4704" w:rsidRDefault="007354F2" w:rsidP="004A4704">
      <w:pPr>
        <w:pStyle w:val="ListParagraph"/>
        <w:numPr>
          <w:ilvl w:val="0"/>
          <w:numId w:val="7"/>
        </w:numPr>
        <w:rPr>
          <w:rFonts w:cstheme="minorHAnsi"/>
          <w:b/>
          <w:u w:val="single"/>
        </w:rPr>
      </w:pPr>
      <w:r w:rsidRPr="004A4704">
        <w:rPr>
          <w:rFonts w:eastAsia="Times New Roman" w:cstheme="minorHAnsi"/>
          <w:b/>
          <w:color w:val="000000"/>
          <w:u w:val="single"/>
        </w:rPr>
        <w:lastRenderedPageBreak/>
        <w:t>Allocation of CARES ACT Education Stability Funds for Equitable Services</w:t>
      </w:r>
    </w:p>
    <w:p w:rsidR="004A4704" w:rsidRDefault="004A4704" w:rsidP="007354F2">
      <w:pPr>
        <w:rPr>
          <w:rFonts w:cstheme="minorHAnsi"/>
          <w:sz w:val="20"/>
          <w:szCs w:val="20"/>
        </w:rPr>
      </w:pPr>
    </w:p>
    <w:p w:rsidR="007354F2" w:rsidRPr="004A4704" w:rsidRDefault="007354F2" w:rsidP="007354F2">
      <w:pPr>
        <w:rPr>
          <w:rFonts w:cstheme="minorHAnsi"/>
          <w:sz w:val="20"/>
          <w:szCs w:val="20"/>
        </w:rPr>
      </w:pPr>
      <w:r w:rsidRPr="004A4704">
        <w:rPr>
          <w:rFonts w:cstheme="minorHAnsi"/>
          <w:sz w:val="20"/>
          <w:szCs w:val="20"/>
        </w:rPr>
        <w:t>The CARES ACT Education Stability Fund (ESF)</w:t>
      </w:r>
      <w:r w:rsidRPr="004A4704">
        <w:rPr>
          <w:rFonts w:cstheme="minorHAnsi"/>
          <w:sz w:val="20"/>
          <w:szCs w:val="20"/>
        </w:rPr>
        <w:t xml:space="preserve"> is a new emergency education fund, unrelated to the Elementary and Secondary Education Act (ESEA) or the Individuals with Disabilities Education Act (IDEA).   </w:t>
      </w:r>
    </w:p>
    <w:p w:rsidR="007354F2" w:rsidRPr="004A4704" w:rsidRDefault="007354F2" w:rsidP="00564D5F">
      <w:pPr>
        <w:pStyle w:val="ListParagraph"/>
        <w:numPr>
          <w:ilvl w:val="0"/>
          <w:numId w:val="3"/>
        </w:numPr>
        <w:rPr>
          <w:rFonts w:asciiTheme="minorHAnsi" w:hAnsiTheme="minorHAnsi" w:cstheme="minorHAnsi"/>
          <w:sz w:val="20"/>
          <w:szCs w:val="20"/>
        </w:rPr>
      </w:pPr>
      <w:r w:rsidRPr="004A4704">
        <w:rPr>
          <w:rFonts w:asciiTheme="minorHAnsi" w:hAnsiTheme="minorHAnsi" w:cstheme="minorHAnsi"/>
          <w:sz w:val="20"/>
          <w:szCs w:val="20"/>
        </w:rPr>
        <w:t>There are two grants within the fund, and equitable services are required to non-pub</w:t>
      </w:r>
      <w:r w:rsidRPr="004A4704">
        <w:rPr>
          <w:rFonts w:asciiTheme="minorHAnsi" w:hAnsiTheme="minorHAnsi" w:cstheme="minorHAnsi"/>
          <w:sz w:val="20"/>
          <w:szCs w:val="20"/>
        </w:rPr>
        <w:t xml:space="preserve">lic schools under both grants. </w:t>
      </w:r>
    </w:p>
    <w:p w:rsidR="007354F2" w:rsidRPr="004A4704" w:rsidRDefault="007354F2" w:rsidP="00564D5F">
      <w:pPr>
        <w:pStyle w:val="ListParagraph"/>
        <w:numPr>
          <w:ilvl w:val="0"/>
          <w:numId w:val="3"/>
        </w:numPr>
        <w:rPr>
          <w:rFonts w:asciiTheme="minorHAnsi" w:hAnsiTheme="minorHAnsi" w:cstheme="minorHAnsi"/>
          <w:sz w:val="20"/>
          <w:szCs w:val="20"/>
        </w:rPr>
      </w:pPr>
      <w:r w:rsidRPr="004A4704">
        <w:rPr>
          <w:rFonts w:asciiTheme="minorHAnsi" w:hAnsiTheme="minorHAnsi" w:cstheme="minorHAnsi"/>
          <w:sz w:val="20"/>
          <w:szCs w:val="20"/>
        </w:rPr>
        <w:t xml:space="preserve">All non-public schools are eligible to participate in the ESF, no matter their prior participation in ESEA or IDEA and </w:t>
      </w:r>
      <w:r w:rsidRPr="004A4704">
        <w:rPr>
          <w:rFonts w:asciiTheme="minorHAnsi" w:hAnsiTheme="minorHAnsi" w:cstheme="minorHAnsi"/>
          <w:sz w:val="20"/>
          <w:szCs w:val="20"/>
        </w:rPr>
        <w:t xml:space="preserve">no matter their Title I count. </w:t>
      </w:r>
    </w:p>
    <w:p w:rsidR="00564D5F" w:rsidRPr="004A4704" w:rsidRDefault="00564D5F" w:rsidP="00564D5F">
      <w:pPr>
        <w:pStyle w:val="ListParagraph"/>
        <w:rPr>
          <w:rFonts w:asciiTheme="minorHAnsi" w:hAnsiTheme="minorHAnsi" w:cstheme="minorHAnsi"/>
          <w:sz w:val="20"/>
          <w:szCs w:val="20"/>
        </w:rPr>
      </w:pPr>
    </w:p>
    <w:p w:rsidR="007354F2" w:rsidRPr="004A4704" w:rsidRDefault="007354F2" w:rsidP="00564D5F">
      <w:pPr>
        <w:spacing w:after="0" w:line="240" w:lineRule="auto"/>
        <w:rPr>
          <w:rFonts w:eastAsia="Times New Roman" w:cstheme="minorHAnsi"/>
          <w:sz w:val="20"/>
          <w:szCs w:val="20"/>
        </w:rPr>
      </w:pPr>
      <w:r w:rsidRPr="004A4704">
        <w:rPr>
          <w:rFonts w:eastAsia="Times New Roman" w:cstheme="minorHAnsi"/>
          <w:sz w:val="20"/>
          <w:szCs w:val="20"/>
        </w:rPr>
        <w:t>Sections 18003(b) and 18003(c) govern allocations to LEAs under the Elementary and Secondary Education Relief Fund. </w:t>
      </w:r>
    </w:p>
    <w:p w:rsidR="007354F2" w:rsidRPr="004A4704" w:rsidRDefault="007354F2" w:rsidP="007354F2">
      <w:pPr>
        <w:pStyle w:val="ListParagraph"/>
        <w:numPr>
          <w:ilvl w:val="0"/>
          <w:numId w:val="1"/>
        </w:numPr>
        <w:spacing w:line="240" w:lineRule="auto"/>
        <w:rPr>
          <w:rFonts w:asciiTheme="minorHAnsi" w:eastAsia="Times New Roman" w:hAnsiTheme="minorHAnsi" w:cstheme="minorHAnsi"/>
          <w:sz w:val="20"/>
          <w:szCs w:val="20"/>
        </w:rPr>
      </w:pPr>
      <w:r w:rsidRPr="004A4704">
        <w:rPr>
          <w:rFonts w:asciiTheme="minorHAnsi" w:eastAsia="Times New Roman" w:hAnsiTheme="minorHAnsi" w:cstheme="minorHAnsi"/>
          <w:sz w:val="20"/>
          <w:szCs w:val="20"/>
        </w:rPr>
        <w:t xml:space="preserve">Section 18003(b) allocates funds to the states in the same proportion as each state received under Part A of Title I in the most recent fiscal year.  </w:t>
      </w:r>
    </w:p>
    <w:p w:rsidR="007354F2" w:rsidRPr="004A4704" w:rsidRDefault="007354F2" w:rsidP="007354F2">
      <w:pPr>
        <w:pStyle w:val="ListParagraph"/>
        <w:numPr>
          <w:ilvl w:val="0"/>
          <w:numId w:val="1"/>
        </w:numPr>
        <w:spacing w:line="240" w:lineRule="auto"/>
        <w:rPr>
          <w:rFonts w:asciiTheme="minorHAnsi" w:eastAsia="Times New Roman" w:hAnsiTheme="minorHAnsi" w:cstheme="minorHAnsi"/>
          <w:sz w:val="20"/>
          <w:szCs w:val="20"/>
        </w:rPr>
      </w:pPr>
      <w:r w:rsidRPr="004A4704">
        <w:rPr>
          <w:rFonts w:asciiTheme="minorHAnsi" w:eastAsia="Times New Roman" w:hAnsiTheme="minorHAnsi" w:cstheme="minorHAnsi"/>
          <w:sz w:val="20"/>
          <w:szCs w:val="20"/>
        </w:rPr>
        <w:t>Likewise, Section 18003(c) allocates 90 percent of the amount of a State’s allocation to LEAs</w:t>
      </w:r>
      <w:r w:rsidR="00564D5F" w:rsidRPr="004A4704">
        <w:rPr>
          <w:rFonts w:asciiTheme="minorHAnsi" w:eastAsia="Times New Roman" w:hAnsiTheme="minorHAnsi" w:cstheme="minorHAnsi"/>
          <w:sz w:val="20"/>
          <w:szCs w:val="20"/>
        </w:rPr>
        <w:t xml:space="preserve"> (such as </w:t>
      </w:r>
      <w:r w:rsidR="00564D5F" w:rsidRPr="004A4704">
        <w:rPr>
          <w:rFonts w:asciiTheme="minorHAnsi" w:hAnsiTheme="minorHAnsi" w:cstheme="minorHAnsi"/>
          <w:sz w:val="20"/>
          <w:szCs w:val="20"/>
          <w:highlight w:val="yellow"/>
          <w:u w:val="single"/>
        </w:rPr>
        <w:t>PUBLIC School District</w:t>
      </w:r>
      <w:r w:rsidR="00564D5F" w:rsidRPr="004A4704">
        <w:rPr>
          <w:rFonts w:asciiTheme="minorHAnsi" w:eastAsia="Times New Roman" w:hAnsiTheme="minorHAnsi" w:cstheme="minorHAnsi"/>
          <w:sz w:val="20"/>
          <w:szCs w:val="20"/>
        </w:rPr>
        <w:t>)</w:t>
      </w:r>
      <w:r w:rsidRPr="004A4704">
        <w:rPr>
          <w:rFonts w:asciiTheme="minorHAnsi" w:eastAsia="Times New Roman" w:hAnsiTheme="minorHAnsi" w:cstheme="minorHAnsi"/>
          <w:sz w:val="20"/>
          <w:szCs w:val="20"/>
        </w:rPr>
        <w:t xml:space="preserve"> in</w:t>
      </w:r>
      <w:r w:rsidR="00564D5F" w:rsidRPr="004A4704">
        <w:rPr>
          <w:rFonts w:asciiTheme="minorHAnsi" w:eastAsia="Times New Roman" w:hAnsiTheme="minorHAnsi" w:cstheme="minorHAnsi"/>
          <w:sz w:val="20"/>
          <w:szCs w:val="20"/>
        </w:rPr>
        <w:t xml:space="preserve"> the same proportion as each</w:t>
      </w:r>
      <w:r w:rsidRPr="004A4704">
        <w:rPr>
          <w:rFonts w:asciiTheme="minorHAnsi" w:eastAsia="Times New Roman" w:hAnsiTheme="minorHAnsi" w:cstheme="minorHAnsi"/>
          <w:sz w:val="20"/>
          <w:szCs w:val="20"/>
        </w:rPr>
        <w:t xml:space="preserve"> received under Part A of Title I in the most recent fiscal year.  </w:t>
      </w:r>
    </w:p>
    <w:p w:rsidR="007354F2" w:rsidRPr="004A4704" w:rsidRDefault="007354F2" w:rsidP="007354F2">
      <w:pPr>
        <w:spacing w:line="240" w:lineRule="auto"/>
        <w:rPr>
          <w:rFonts w:eastAsia="Times New Roman" w:cstheme="minorHAnsi"/>
          <w:color w:val="000000"/>
          <w:sz w:val="20"/>
          <w:szCs w:val="20"/>
        </w:rPr>
      </w:pPr>
    </w:p>
    <w:p w:rsidR="007354F2" w:rsidRPr="004A4704" w:rsidRDefault="00564D5F" w:rsidP="00564D5F">
      <w:pPr>
        <w:spacing w:line="240" w:lineRule="auto"/>
        <w:rPr>
          <w:rFonts w:eastAsia="Times New Roman" w:cstheme="minorHAnsi"/>
          <w:color w:val="000000"/>
          <w:sz w:val="20"/>
          <w:szCs w:val="20"/>
        </w:rPr>
      </w:pPr>
      <w:r w:rsidRPr="004A4704">
        <w:rPr>
          <w:rFonts w:eastAsia="Times New Roman" w:cstheme="minorHAnsi"/>
          <w:color w:val="000000"/>
          <w:sz w:val="20"/>
          <w:szCs w:val="20"/>
        </w:rPr>
        <w:t xml:space="preserve">Section 18005(a) requires LEAS (such as </w:t>
      </w:r>
      <w:r w:rsidRPr="004A4704">
        <w:rPr>
          <w:rFonts w:cstheme="minorHAnsi"/>
          <w:sz w:val="20"/>
          <w:szCs w:val="20"/>
          <w:highlight w:val="yellow"/>
          <w:u w:val="single"/>
        </w:rPr>
        <w:t>PUBLIC School District</w:t>
      </w:r>
      <w:r w:rsidRPr="004A4704">
        <w:rPr>
          <w:rFonts w:cstheme="minorHAnsi"/>
          <w:sz w:val="20"/>
          <w:szCs w:val="20"/>
          <w:u w:val="single"/>
        </w:rPr>
        <w:t>)</w:t>
      </w:r>
      <w:r w:rsidR="007354F2" w:rsidRPr="004A4704">
        <w:rPr>
          <w:rFonts w:eastAsia="Times New Roman" w:cstheme="minorHAnsi"/>
          <w:color w:val="000000"/>
          <w:sz w:val="20"/>
          <w:szCs w:val="20"/>
        </w:rPr>
        <w:t xml:space="preserve"> receiving funds under Section 18003 to provide equitable services in the same </w:t>
      </w:r>
      <w:r w:rsidR="007354F2" w:rsidRPr="004A4704">
        <w:rPr>
          <w:rFonts w:eastAsia="Times New Roman" w:cstheme="minorHAnsi"/>
          <w:i/>
          <w:color w:val="000000"/>
          <w:sz w:val="20"/>
          <w:szCs w:val="20"/>
        </w:rPr>
        <w:t xml:space="preserve">manner </w:t>
      </w:r>
      <w:r w:rsidR="007354F2" w:rsidRPr="004A4704">
        <w:rPr>
          <w:rFonts w:eastAsia="Times New Roman" w:cstheme="minorHAnsi"/>
          <w:color w:val="000000"/>
          <w:sz w:val="20"/>
          <w:szCs w:val="20"/>
        </w:rPr>
        <w:t>as provided under Section 1117 of ESEA, as determined in consultation with representatives of non-public school students. </w:t>
      </w:r>
    </w:p>
    <w:p w:rsidR="007354F2" w:rsidRPr="004A4704" w:rsidRDefault="007354F2" w:rsidP="00564D5F">
      <w:pPr>
        <w:spacing w:line="240" w:lineRule="auto"/>
        <w:rPr>
          <w:rFonts w:eastAsia="Times New Roman" w:cstheme="minorHAnsi"/>
          <w:color w:val="000000"/>
          <w:sz w:val="20"/>
          <w:szCs w:val="20"/>
        </w:rPr>
      </w:pPr>
      <w:r w:rsidRPr="004A4704">
        <w:rPr>
          <w:rFonts w:eastAsia="Times New Roman" w:cstheme="minorHAnsi"/>
          <w:color w:val="000000"/>
          <w:sz w:val="20"/>
          <w:szCs w:val="20"/>
        </w:rPr>
        <w:t xml:space="preserve">Section 1117 of ESEA refers to the </w:t>
      </w:r>
      <w:r w:rsidRPr="004A4704">
        <w:rPr>
          <w:rFonts w:eastAsia="Times New Roman" w:cstheme="minorHAnsi"/>
          <w:i/>
          <w:color w:val="000000"/>
          <w:sz w:val="20"/>
          <w:szCs w:val="20"/>
        </w:rPr>
        <w:t xml:space="preserve">manner </w:t>
      </w:r>
      <w:r w:rsidRPr="004A4704">
        <w:rPr>
          <w:rFonts w:eastAsia="Times New Roman" w:cstheme="minorHAnsi"/>
          <w:color w:val="000000"/>
          <w:sz w:val="20"/>
          <w:szCs w:val="20"/>
        </w:rPr>
        <w:t>in which services are provided (i.e. equitably) and does not refer to the allocation or eligible uses of the funds, since the only reference to the allocation is in Sections 18003(b) and 18003(c). </w:t>
      </w:r>
    </w:p>
    <w:p w:rsidR="00CC2118" w:rsidRPr="004A4704" w:rsidRDefault="00257E04" w:rsidP="00564D5F">
      <w:pPr>
        <w:spacing w:line="240" w:lineRule="auto"/>
        <w:rPr>
          <w:rFonts w:eastAsia="Times New Roman" w:cstheme="minorHAnsi"/>
          <w:color w:val="000000"/>
          <w:sz w:val="20"/>
          <w:szCs w:val="20"/>
        </w:rPr>
      </w:pPr>
      <w:r w:rsidRPr="004A4704">
        <w:rPr>
          <w:rFonts w:eastAsia="Times New Roman" w:cstheme="minorHAnsi"/>
          <w:color w:val="000000"/>
          <w:sz w:val="20"/>
          <w:szCs w:val="20"/>
        </w:rPr>
        <w:t>According to the federal guidance linked above, the calculations</w:t>
      </w:r>
      <w:r w:rsidR="004A4704" w:rsidRPr="004A4704">
        <w:rPr>
          <w:rFonts w:eastAsia="Times New Roman" w:cstheme="minorHAnsi"/>
          <w:color w:val="000000"/>
          <w:sz w:val="20"/>
          <w:szCs w:val="20"/>
        </w:rPr>
        <w:t xml:space="preserve"> for </w:t>
      </w:r>
      <w:r w:rsidR="004A4704" w:rsidRPr="004A4704">
        <w:rPr>
          <w:rFonts w:eastAsia="Times New Roman" w:cstheme="minorHAnsi"/>
          <w:i/>
          <w:color w:val="000000"/>
          <w:sz w:val="20"/>
          <w:szCs w:val="20"/>
        </w:rPr>
        <w:t>allocation</w:t>
      </w:r>
      <w:r w:rsidRPr="004A4704">
        <w:rPr>
          <w:rFonts w:eastAsia="Times New Roman" w:cstheme="minorHAnsi"/>
          <w:color w:val="000000"/>
          <w:sz w:val="20"/>
          <w:szCs w:val="20"/>
        </w:rPr>
        <w:t xml:space="preserve"> for proportional shares to be set aside for equitable services is as follows:</w:t>
      </w:r>
    </w:p>
    <w:p w:rsidR="00564D5F" w:rsidRPr="004A4704" w:rsidRDefault="00CC2118" w:rsidP="00564D5F">
      <w:pPr>
        <w:spacing w:line="240" w:lineRule="auto"/>
        <w:rPr>
          <w:rFonts w:cstheme="minorHAnsi"/>
          <w:sz w:val="20"/>
          <w:szCs w:val="20"/>
        </w:rPr>
      </w:pPr>
      <w:r w:rsidRPr="004A4704">
        <w:rPr>
          <w:rFonts w:cstheme="minorHAnsi"/>
          <w:sz w:val="20"/>
          <w:szCs w:val="20"/>
        </w:rPr>
        <w:t xml:space="preserve">“10. </w:t>
      </w:r>
      <w:r w:rsidR="00564D5F" w:rsidRPr="004A4704">
        <w:rPr>
          <w:rFonts w:cstheme="minorHAnsi"/>
          <w:sz w:val="20"/>
          <w:szCs w:val="20"/>
        </w:rPr>
        <w:t xml:space="preserve">How does an LEA calculate the proportional share? </w:t>
      </w:r>
    </w:p>
    <w:p w:rsidR="00564D5F" w:rsidRPr="004A4704" w:rsidRDefault="00257E04" w:rsidP="00564D5F">
      <w:pPr>
        <w:spacing w:line="240" w:lineRule="auto"/>
        <w:rPr>
          <w:rFonts w:cstheme="minorHAnsi"/>
          <w:sz w:val="20"/>
          <w:szCs w:val="20"/>
        </w:rPr>
      </w:pPr>
      <w:r w:rsidRPr="004A4704">
        <w:rPr>
          <w:rFonts w:cstheme="minorHAnsi"/>
          <w:sz w:val="20"/>
          <w:szCs w:val="20"/>
        </w:rPr>
        <w:t>“To</w:t>
      </w:r>
      <w:r w:rsidR="00564D5F" w:rsidRPr="004A4704">
        <w:rPr>
          <w:rFonts w:cstheme="minorHAnsi"/>
          <w:sz w:val="20"/>
          <w:szCs w:val="20"/>
        </w:rPr>
        <w:t xml:space="preserve"> calculate the proportional share for equitable services under the CARES Act programs, an LEA determines the overall number of children who are enrolled in public schools and non-public schools in the LEA that wish to participate under one or both CARES Act programs. Using the proportion of students who are enrolled in participating non-public schools, the LEA determines the amount of funds available for equitable services based on that proportional share of the LEA’s total allocation under each CARES Act program separately. For example, an LEA receiving $100,000 under the GEER Fund and $900,000 under the ESSER Fund, and with 1,350 public school students and 150 non-public school students, would determine the proportional share as follows:</w:t>
      </w:r>
    </w:p>
    <w:p w:rsidR="00564D5F" w:rsidRPr="004A4704" w:rsidRDefault="00564D5F" w:rsidP="00564D5F">
      <w:pPr>
        <w:spacing w:line="240" w:lineRule="auto"/>
        <w:rPr>
          <w:rFonts w:cstheme="minorHAnsi"/>
          <w:sz w:val="20"/>
          <w:szCs w:val="20"/>
        </w:rPr>
      </w:pPr>
      <w:r w:rsidRPr="004A4704">
        <w:rPr>
          <w:rFonts w:cstheme="minorHAnsi"/>
          <w:noProof/>
          <w:sz w:val="20"/>
          <w:szCs w:val="20"/>
        </w:rPr>
        <w:drawing>
          <wp:inline distT="0" distB="0" distL="0" distR="0" wp14:anchorId="447F37FC" wp14:editId="1638381A">
            <wp:extent cx="5933333" cy="18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3333" cy="1828571"/>
                    </a:xfrm>
                    <a:prstGeom prst="rect">
                      <a:avLst/>
                    </a:prstGeom>
                  </pic:spPr>
                </pic:pic>
              </a:graphicData>
            </a:graphic>
          </wp:inline>
        </w:drawing>
      </w:r>
    </w:p>
    <w:p w:rsidR="00CC2118" w:rsidRPr="004A4704" w:rsidRDefault="00CC2118" w:rsidP="00564D5F">
      <w:pPr>
        <w:spacing w:line="240" w:lineRule="auto"/>
        <w:rPr>
          <w:rFonts w:cstheme="minorHAnsi"/>
          <w:sz w:val="20"/>
          <w:szCs w:val="20"/>
        </w:rPr>
      </w:pPr>
    </w:p>
    <w:p w:rsidR="00564D5F" w:rsidRPr="004A4704" w:rsidRDefault="00564D5F" w:rsidP="00564D5F">
      <w:pPr>
        <w:spacing w:line="240" w:lineRule="auto"/>
        <w:rPr>
          <w:rFonts w:cstheme="minorHAnsi"/>
          <w:sz w:val="20"/>
          <w:szCs w:val="20"/>
        </w:rPr>
      </w:pPr>
      <w:r w:rsidRPr="004A4704">
        <w:rPr>
          <w:rFonts w:cstheme="minorHAnsi"/>
          <w:sz w:val="20"/>
          <w:szCs w:val="20"/>
        </w:rPr>
        <w:lastRenderedPageBreak/>
        <w:t xml:space="preserve"> 11. After an LEA has determined the proportional share of funds for equitable services under each CARES Act program, how does it then determine the amount of funds available for services to students and teachers in individual non-public schools?</w:t>
      </w:r>
    </w:p>
    <w:p w:rsidR="00564D5F" w:rsidRPr="004A4704" w:rsidRDefault="00564D5F" w:rsidP="00564D5F">
      <w:pPr>
        <w:spacing w:line="240" w:lineRule="auto"/>
        <w:rPr>
          <w:rFonts w:cstheme="minorHAnsi"/>
          <w:sz w:val="20"/>
          <w:szCs w:val="20"/>
        </w:rPr>
      </w:pPr>
      <w:r w:rsidRPr="004A4704">
        <w:rPr>
          <w:rFonts w:cstheme="minorHAnsi"/>
          <w:sz w:val="20"/>
          <w:szCs w:val="20"/>
        </w:rPr>
        <w:t xml:space="preserve"> For consultation purposes, in order to determine what equitable services to provide to students and teachers in a given non-public school, an LEA, after reserving funds that are reasonable and necessary for administering equitable services under the CARES Act programs, would divide the remainder of the proportional share of funds available for equitable services by the total enrollment in non-public schools whose students and teachers will participate in each of the CARES Act programs to obtain a per-pupil amount. The LEA would then multiply that per-pupil amount by the enrollment in an individual non-public school to determine the amount of services the LEA can provide to students and teachers in that school. With agreement between the LEA and appropriate non-public school officials, the LEA may pool funds among a group of non-public schools and provide equitable services to students and teachers in non-public schools within the pool based on need without regard to how the funds were generated. (See ESEA section 111</w:t>
      </w:r>
      <w:r w:rsidR="00CC2118" w:rsidRPr="004A4704">
        <w:rPr>
          <w:rFonts w:cstheme="minorHAnsi"/>
          <w:sz w:val="20"/>
          <w:szCs w:val="20"/>
        </w:rPr>
        <w:t>7(b)(1)(J)(i)).”</w:t>
      </w:r>
    </w:p>
    <w:p w:rsidR="00CC2118" w:rsidRPr="004A4704" w:rsidRDefault="00CC2118" w:rsidP="00564D5F">
      <w:pPr>
        <w:spacing w:line="240" w:lineRule="auto"/>
        <w:rPr>
          <w:rFonts w:eastAsia="Times New Roman" w:cstheme="minorHAnsi"/>
          <w:sz w:val="20"/>
          <w:szCs w:val="20"/>
        </w:rPr>
      </w:pPr>
    </w:p>
    <w:p w:rsidR="00257E04" w:rsidRPr="004A4704" w:rsidRDefault="00257E04" w:rsidP="00CC2118">
      <w:pPr>
        <w:rPr>
          <w:rFonts w:cstheme="minorHAnsi"/>
          <w:sz w:val="20"/>
          <w:szCs w:val="20"/>
        </w:rPr>
      </w:pPr>
    </w:p>
    <w:p w:rsidR="00257E04" w:rsidRPr="004A4704" w:rsidRDefault="00257E04" w:rsidP="00CC2118">
      <w:pPr>
        <w:rPr>
          <w:rFonts w:cstheme="minorHAnsi"/>
          <w:sz w:val="20"/>
          <w:szCs w:val="20"/>
        </w:rPr>
      </w:pPr>
    </w:p>
    <w:p w:rsidR="00257E04" w:rsidRPr="004A4704" w:rsidRDefault="00257E04" w:rsidP="00257E04">
      <w:pPr>
        <w:spacing w:line="240" w:lineRule="auto"/>
        <w:rPr>
          <w:rFonts w:cstheme="minorHAnsi"/>
          <w:sz w:val="20"/>
          <w:szCs w:val="20"/>
        </w:rPr>
      </w:pPr>
    </w:p>
    <w:p w:rsidR="00257E04" w:rsidRDefault="00257E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257E04" w:rsidRDefault="00257E04" w:rsidP="00257E04">
      <w:pPr>
        <w:spacing w:line="240" w:lineRule="auto"/>
        <w:rPr>
          <w:rFonts w:cstheme="minorHAnsi"/>
        </w:rPr>
      </w:pPr>
    </w:p>
    <w:p w:rsidR="00257E04" w:rsidRDefault="00257E04" w:rsidP="00257E04">
      <w:pPr>
        <w:spacing w:line="240" w:lineRule="auto"/>
        <w:rPr>
          <w:rFonts w:cstheme="minorHAnsi"/>
        </w:rPr>
      </w:pPr>
    </w:p>
    <w:p w:rsidR="004A4704" w:rsidRDefault="004A4704" w:rsidP="00257E04">
      <w:pPr>
        <w:spacing w:line="240" w:lineRule="auto"/>
        <w:rPr>
          <w:rFonts w:cstheme="minorHAnsi"/>
        </w:rPr>
      </w:pPr>
      <w:bookmarkStart w:id="1" w:name="esf"/>
    </w:p>
    <w:p w:rsidR="004A4704" w:rsidRDefault="004A4704" w:rsidP="00257E04">
      <w:pPr>
        <w:spacing w:line="240" w:lineRule="auto"/>
        <w:rPr>
          <w:rFonts w:cstheme="minorHAnsi"/>
        </w:rPr>
      </w:pPr>
    </w:p>
    <w:p w:rsidR="004A4704" w:rsidRDefault="004A4704" w:rsidP="00257E04">
      <w:pPr>
        <w:spacing w:line="240" w:lineRule="auto"/>
        <w:rPr>
          <w:rFonts w:cstheme="minorHAnsi"/>
        </w:rPr>
      </w:pPr>
    </w:p>
    <w:p w:rsidR="00257E04" w:rsidRPr="00947A0D" w:rsidRDefault="00257E04" w:rsidP="00257E04">
      <w:pPr>
        <w:spacing w:line="240" w:lineRule="auto"/>
        <w:rPr>
          <w:rFonts w:eastAsia="Times New Roman" w:cstheme="minorHAnsi"/>
          <w:b/>
        </w:rPr>
      </w:pPr>
      <w:r w:rsidRPr="00947A0D">
        <w:rPr>
          <w:rFonts w:cstheme="minorHAnsi"/>
          <w:b/>
        </w:rPr>
        <w:lastRenderedPageBreak/>
        <w:t xml:space="preserve">CARES ACT, </w:t>
      </w:r>
      <w:r w:rsidRPr="00947A0D">
        <w:rPr>
          <w:rFonts w:cstheme="minorHAnsi"/>
          <w:b/>
          <w:i/>
        </w:rPr>
        <w:t>Education Stabilization Fund under H.R.748 — 116th Congress 2</w:t>
      </w:r>
      <w:r w:rsidRPr="00947A0D">
        <w:rPr>
          <w:rFonts w:cstheme="minorHAnsi"/>
          <w:b/>
          <w:i/>
          <w:vertAlign w:val="superscript"/>
        </w:rPr>
        <w:t>nd</w:t>
      </w:r>
      <w:r w:rsidRPr="00947A0D">
        <w:rPr>
          <w:rFonts w:cstheme="minorHAnsi"/>
          <w:b/>
          <w:i/>
        </w:rPr>
        <w:t xml:space="preserve"> Session</w:t>
      </w:r>
    </w:p>
    <w:bookmarkEnd w:id="1"/>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253E846A" wp14:editId="6A6A9E96">
            <wp:extent cx="5943600" cy="390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1752D6A8" wp14:editId="6001AFAA">
            <wp:extent cx="5943600" cy="3467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p>
    <w:p w:rsidR="00257E04" w:rsidRPr="008907D7" w:rsidRDefault="00257E04" w:rsidP="00257E04">
      <w:pPr>
        <w:spacing w:line="240" w:lineRule="auto"/>
        <w:rPr>
          <w:rFonts w:eastAsia="Times New Roman" w:cstheme="minorHAnsi"/>
        </w:rPr>
      </w:pPr>
      <w:r w:rsidRPr="008907D7">
        <w:rPr>
          <w:rFonts w:cstheme="minorHAnsi"/>
          <w:noProof/>
        </w:rPr>
        <w:lastRenderedPageBreak/>
        <w:drawing>
          <wp:inline distT="0" distB="0" distL="0" distR="0" wp14:anchorId="3BBCF549" wp14:editId="5B1AB3E8">
            <wp:extent cx="5943600" cy="3467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2A74A293" wp14:editId="578DAC54">
            <wp:extent cx="5943600" cy="424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r w:rsidRPr="008907D7">
        <w:rPr>
          <w:rFonts w:cstheme="minorHAnsi"/>
          <w:noProof/>
        </w:rPr>
        <w:lastRenderedPageBreak/>
        <w:drawing>
          <wp:inline distT="0" distB="0" distL="0" distR="0" wp14:anchorId="711904EE" wp14:editId="67DF064F">
            <wp:extent cx="5943600" cy="1285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7201FB9C" wp14:editId="511E73A0">
            <wp:extent cx="594360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1846A6F5" wp14:editId="697FB2B5">
            <wp:extent cx="5943600" cy="3067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r w:rsidRPr="008907D7">
        <w:rPr>
          <w:rFonts w:cstheme="minorHAnsi"/>
          <w:noProof/>
        </w:rPr>
        <w:lastRenderedPageBreak/>
        <w:drawing>
          <wp:inline distT="0" distB="0" distL="0" distR="0" wp14:anchorId="62F7C250" wp14:editId="55E65ADE">
            <wp:extent cx="5943600" cy="2838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0138CE65" wp14:editId="7B52A0B3">
            <wp:extent cx="5943600" cy="1514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2BEBF315" wp14:editId="15D93BFB">
            <wp:extent cx="5943600" cy="2428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28875"/>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p>
    <w:p w:rsidR="00257E04" w:rsidRPr="008907D7" w:rsidRDefault="00257E04" w:rsidP="00257E04">
      <w:pPr>
        <w:spacing w:line="240" w:lineRule="auto"/>
        <w:rPr>
          <w:rFonts w:eastAsia="Times New Roman" w:cstheme="minorHAnsi"/>
        </w:rPr>
      </w:pPr>
      <w:r w:rsidRPr="008907D7">
        <w:rPr>
          <w:rFonts w:cstheme="minorHAnsi"/>
          <w:noProof/>
        </w:rPr>
        <w:lastRenderedPageBreak/>
        <w:drawing>
          <wp:inline distT="0" distB="0" distL="0" distR="0" wp14:anchorId="49DECD5F" wp14:editId="03799067">
            <wp:extent cx="594360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p>
    <w:p w:rsidR="00257E04" w:rsidRPr="008907D7" w:rsidRDefault="00257E04" w:rsidP="00257E04">
      <w:pPr>
        <w:spacing w:line="240" w:lineRule="auto"/>
        <w:rPr>
          <w:rFonts w:eastAsia="Times New Roman" w:cstheme="minorHAnsi"/>
        </w:rPr>
      </w:pPr>
      <w:r w:rsidRPr="008907D7">
        <w:rPr>
          <w:rFonts w:cstheme="minorHAnsi"/>
          <w:noProof/>
        </w:rPr>
        <w:drawing>
          <wp:inline distT="0" distB="0" distL="0" distR="0" wp14:anchorId="69A57F8E" wp14:editId="0D1B5703">
            <wp:extent cx="594360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p w:rsidR="00257E04" w:rsidRPr="008907D7" w:rsidRDefault="00257E04" w:rsidP="00257E04">
      <w:pPr>
        <w:spacing w:line="240" w:lineRule="auto"/>
        <w:rPr>
          <w:rFonts w:eastAsia="Times New Roman" w:cstheme="minorHAnsi"/>
        </w:rPr>
      </w:pPr>
      <w:r w:rsidRPr="008907D7">
        <w:rPr>
          <w:rFonts w:cstheme="minorHAnsi"/>
          <w:noProof/>
        </w:rPr>
        <w:lastRenderedPageBreak/>
        <w:drawing>
          <wp:inline distT="0" distB="0" distL="0" distR="0" wp14:anchorId="6CE5BB32" wp14:editId="444B5457">
            <wp:extent cx="5943600" cy="385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57625"/>
                    </a:xfrm>
                    <a:prstGeom prst="rect">
                      <a:avLst/>
                    </a:prstGeom>
                    <a:noFill/>
                    <a:ln>
                      <a:noFill/>
                    </a:ln>
                  </pic:spPr>
                </pic:pic>
              </a:graphicData>
            </a:graphic>
          </wp:inline>
        </w:drawing>
      </w:r>
    </w:p>
    <w:p w:rsidR="00257E04" w:rsidRDefault="00257E04" w:rsidP="00CC2118">
      <w:pPr>
        <w:rPr>
          <w:rFonts w:cstheme="minorHAnsi"/>
        </w:rPr>
      </w:pPr>
    </w:p>
    <w:sectPr w:rsidR="00257E0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6B" w:rsidRDefault="0048326B" w:rsidP="00257E04">
      <w:pPr>
        <w:spacing w:after="0" w:line="240" w:lineRule="auto"/>
      </w:pPr>
      <w:r>
        <w:separator/>
      </w:r>
    </w:p>
  </w:endnote>
  <w:endnote w:type="continuationSeparator" w:id="0">
    <w:p w:rsidR="0048326B" w:rsidRDefault="0048326B" w:rsidP="0025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9888"/>
      <w:docPartObj>
        <w:docPartGallery w:val="Page Numbers (Bottom of Page)"/>
        <w:docPartUnique/>
      </w:docPartObj>
    </w:sdtPr>
    <w:sdtEndPr>
      <w:rPr>
        <w:noProof/>
      </w:rPr>
    </w:sdtEndPr>
    <w:sdtContent>
      <w:p w:rsidR="00947A0D" w:rsidRDefault="00947A0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947A0D" w:rsidRDefault="0094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6B" w:rsidRDefault="0048326B" w:rsidP="00257E04">
      <w:pPr>
        <w:spacing w:after="0" w:line="240" w:lineRule="auto"/>
      </w:pPr>
      <w:r>
        <w:separator/>
      </w:r>
    </w:p>
  </w:footnote>
  <w:footnote w:type="continuationSeparator" w:id="0">
    <w:p w:rsidR="0048326B" w:rsidRDefault="0048326B" w:rsidP="00257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0B1"/>
    <w:multiLevelType w:val="hybridMultilevel"/>
    <w:tmpl w:val="6F2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99C"/>
    <w:multiLevelType w:val="hybridMultilevel"/>
    <w:tmpl w:val="1F9892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F7418C5"/>
    <w:multiLevelType w:val="hybridMultilevel"/>
    <w:tmpl w:val="DBF256B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AD842BA"/>
    <w:multiLevelType w:val="hybridMultilevel"/>
    <w:tmpl w:val="DC02B8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44298"/>
    <w:multiLevelType w:val="hybridMultilevel"/>
    <w:tmpl w:val="B3C63DB8"/>
    <w:lvl w:ilvl="0" w:tplc="2722B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4AAD"/>
    <w:multiLevelType w:val="hybridMultilevel"/>
    <w:tmpl w:val="0220DC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95167"/>
    <w:multiLevelType w:val="hybridMultilevel"/>
    <w:tmpl w:val="D6AE6C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2"/>
    <w:rsid w:val="00257E04"/>
    <w:rsid w:val="0048326B"/>
    <w:rsid w:val="004A4704"/>
    <w:rsid w:val="00564D5F"/>
    <w:rsid w:val="007354F2"/>
    <w:rsid w:val="00863F25"/>
    <w:rsid w:val="00947A0D"/>
    <w:rsid w:val="00A15B71"/>
    <w:rsid w:val="00C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E0CC9-D624-411C-8B6D-5121420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F2"/>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25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E04"/>
  </w:style>
  <w:style w:type="paragraph" w:styleId="Footer">
    <w:name w:val="footer"/>
    <w:basedOn w:val="Normal"/>
    <w:link w:val="FooterChar"/>
    <w:uiPriority w:val="99"/>
    <w:unhideWhenUsed/>
    <w:rsid w:val="0025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04"/>
  </w:style>
  <w:style w:type="character" w:styleId="Hyperlink">
    <w:name w:val="Hyperlink"/>
    <w:basedOn w:val="DefaultParagraphFont"/>
    <w:uiPriority w:val="99"/>
    <w:unhideWhenUsed/>
    <w:rsid w:val="004A4704"/>
    <w:rPr>
      <w:color w:val="0563C1" w:themeColor="hyperlink"/>
      <w:u w:val="single"/>
    </w:rPr>
  </w:style>
  <w:style w:type="character" w:styleId="FollowedHyperlink">
    <w:name w:val="FollowedHyperlink"/>
    <w:basedOn w:val="DefaultParagraphFont"/>
    <w:uiPriority w:val="99"/>
    <w:semiHidden/>
    <w:unhideWhenUsed/>
    <w:rsid w:val="004A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ese.ed.gov/files/2020/04/FAQs-Equitable-Services.pd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Connections</dc:creator>
  <cp:keywords/>
  <dc:description/>
  <cp:lastModifiedBy>Connections</cp:lastModifiedBy>
  <cp:revision>2</cp:revision>
  <dcterms:created xsi:type="dcterms:W3CDTF">2020-05-14T16:17:00Z</dcterms:created>
  <dcterms:modified xsi:type="dcterms:W3CDTF">2020-05-14T17:42:00Z</dcterms:modified>
</cp:coreProperties>
</file>