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112F552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C31C2D">
        <w:rPr>
          <w:rFonts w:ascii="Times New Roman" w:hAnsi="Times New Roman" w:cs="Arial"/>
          <w:sz w:val="22"/>
          <w:szCs w:val="22"/>
        </w:rPr>
        <w:t xml:space="preserve"> </w:t>
      </w:r>
      <w:r w:rsidR="000B5E2F">
        <w:rPr>
          <w:rFonts w:ascii="Times New Roman" w:hAnsi="Times New Roman" w:cs="Arial"/>
          <w:sz w:val="22"/>
          <w:szCs w:val="22"/>
        </w:rPr>
        <w:t>May 22</w:t>
      </w:r>
      <w:r w:rsidR="00103BC7">
        <w:rPr>
          <w:rFonts w:ascii="Times New Roman" w:hAnsi="Times New Roman" w:cs="Arial"/>
          <w:sz w:val="22"/>
          <w:szCs w:val="22"/>
        </w:rPr>
        <w:t>,</w:t>
      </w:r>
      <w:r w:rsidR="0039232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0595562A" w:rsidR="004B3FB8" w:rsidRPr="00AF3D97" w:rsidRDefault="000B5E2F" w:rsidP="00FB1874">
      <w:pPr>
        <w:jc w:val="center"/>
        <w:rPr>
          <w:rFonts w:ascii="Times New Roman" w:hAnsi="Times New Roman" w:cs="Arial"/>
          <w:b/>
        </w:rPr>
      </w:pPr>
      <w:r>
        <w:rPr>
          <w:rFonts w:ascii="Times New Roman" w:hAnsi="Times New Roman" w:cs="Arial"/>
          <w:b/>
        </w:rPr>
        <w:t>May 22</w:t>
      </w:r>
      <w:r w:rsidR="005424F3">
        <w:rPr>
          <w:rFonts w:ascii="Times New Roman" w:hAnsi="Times New Roman" w:cs="Arial"/>
          <w:b/>
        </w:rPr>
        <w:t>,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402F039E"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0B5E2F">
        <w:rPr>
          <w:rFonts w:ascii="Times New Roman" w:hAnsi="Times New Roman" w:cs="Arial"/>
          <w:bCs/>
        </w:rPr>
        <w:t>May 22,</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proofErr w:type="gramStart"/>
      <w:r w:rsidR="003B7C70" w:rsidRPr="00AF3D97">
        <w:rPr>
          <w:rFonts w:ascii="Times New Roman" w:hAnsi="Times New Roman" w:cs="Arial"/>
          <w:bCs/>
        </w:rPr>
        <w:t>library</w:t>
      </w:r>
      <w:r w:rsidR="003B7C70">
        <w:rPr>
          <w:rFonts w:ascii="Times New Roman" w:hAnsi="Times New Roman" w:cs="Arial"/>
          <w:bCs/>
        </w:rPr>
        <w:t xml:space="preserve">, </w:t>
      </w:r>
      <w:r w:rsidR="003B7C70" w:rsidRPr="00AF3D97">
        <w:rPr>
          <w:rFonts w:ascii="Times New Roman" w:hAnsi="Times New Roman" w:cs="Arial"/>
          <w:bCs/>
        </w:rPr>
        <w:t>#</w:t>
      </w:r>
      <w:proofErr w:type="gramEnd"/>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Pr="003A2CB0" w:rsidRDefault="00A04FAB" w:rsidP="00E4220D">
      <w:pPr>
        <w:numPr>
          <w:ilvl w:val="0"/>
          <w:numId w:val="1"/>
        </w:numPr>
        <w:spacing w:line="276" w:lineRule="auto"/>
        <w:rPr>
          <w:rFonts w:ascii="Times New Roman" w:hAnsi="Times New Roman" w:cs="Arial"/>
          <w:b/>
          <w:sz w:val="24"/>
          <w:szCs w:val="24"/>
        </w:rPr>
      </w:pPr>
      <w:bookmarkStart w:id="0" w:name="_Hlk177369705"/>
      <w:r w:rsidRPr="003A2CB0">
        <w:rPr>
          <w:rFonts w:ascii="Times New Roman" w:hAnsi="Times New Roman" w:cs="Arial"/>
          <w:b/>
          <w:sz w:val="24"/>
          <w:szCs w:val="24"/>
        </w:rPr>
        <w:t>Call to Order</w:t>
      </w:r>
    </w:p>
    <w:p w14:paraId="6A38879C" w14:textId="09A8E846"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Public Comments/Audience Participation</w:t>
      </w:r>
    </w:p>
    <w:p w14:paraId="15B74969" w14:textId="2B276457"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Consent Agenda</w:t>
      </w:r>
    </w:p>
    <w:p w14:paraId="3387FD8A" w14:textId="36AA4273" w:rsidR="000E52B5" w:rsidRPr="003A2CB0" w:rsidRDefault="00B5251E" w:rsidP="001A28D1">
      <w:pPr>
        <w:pStyle w:val="ListParagraph"/>
        <w:numPr>
          <w:ilvl w:val="1"/>
          <w:numId w:val="1"/>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Minutes from </w:t>
      </w:r>
      <w:r w:rsidR="003A2CB0" w:rsidRPr="003A2CB0">
        <w:rPr>
          <w:rFonts w:ascii="Times New Roman" w:hAnsi="Times New Roman" w:cs="Arial"/>
          <w:b/>
          <w:sz w:val="24"/>
          <w:szCs w:val="24"/>
        </w:rPr>
        <w:t>April 17</w:t>
      </w:r>
      <w:r w:rsidR="00797864" w:rsidRPr="003A2CB0">
        <w:rPr>
          <w:rFonts w:ascii="Times New Roman" w:hAnsi="Times New Roman" w:cs="Arial"/>
          <w:b/>
          <w:sz w:val="24"/>
          <w:szCs w:val="24"/>
        </w:rPr>
        <w:t>,</w:t>
      </w:r>
      <w:r w:rsidR="00392323" w:rsidRPr="003A2CB0">
        <w:rPr>
          <w:rFonts w:ascii="Times New Roman" w:hAnsi="Times New Roman" w:cs="Arial"/>
          <w:b/>
          <w:sz w:val="24"/>
          <w:szCs w:val="24"/>
        </w:rPr>
        <w:t xml:space="preserve"> </w:t>
      </w:r>
      <w:r w:rsidR="006C5F95" w:rsidRPr="003A2CB0">
        <w:rPr>
          <w:rFonts w:ascii="Times New Roman" w:hAnsi="Times New Roman" w:cs="Arial"/>
          <w:b/>
          <w:sz w:val="24"/>
          <w:szCs w:val="24"/>
        </w:rPr>
        <w:t>2025,</w:t>
      </w:r>
      <w:r w:rsidR="001A28D1" w:rsidRPr="003A2CB0">
        <w:rPr>
          <w:rFonts w:ascii="Times New Roman" w:hAnsi="Times New Roman" w:cs="Arial"/>
          <w:b/>
          <w:sz w:val="24"/>
          <w:szCs w:val="24"/>
        </w:rPr>
        <w:t xml:space="preserve"> </w:t>
      </w:r>
      <w:r w:rsidR="00D916CC" w:rsidRPr="003A2CB0">
        <w:rPr>
          <w:rFonts w:ascii="Times New Roman" w:hAnsi="Times New Roman" w:cs="Arial"/>
          <w:b/>
          <w:sz w:val="24"/>
          <w:szCs w:val="24"/>
        </w:rPr>
        <w:t>B</w:t>
      </w:r>
      <w:r w:rsidR="001A28D1" w:rsidRPr="003A2CB0">
        <w:rPr>
          <w:rFonts w:ascii="Times New Roman" w:hAnsi="Times New Roman" w:cs="Arial"/>
          <w:b/>
          <w:sz w:val="24"/>
          <w:szCs w:val="24"/>
        </w:rPr>
        <w:t>oard Meeting</w:t>
      </w:r>
      <w:r w:rsidR="00F43556" w:rsidRPr="003A2CB0">
        <w:rPr>
          <w:rFonts w:ascii="Times New Roman" w:hAnsi="Times New Roman" w:cs="Arial"/>
          <w:b/>
          <w:sz w:val="24"/>
          <w:szCs w:val="24"/>
        </w:rPr>
        <w:t xml:space="preserve"> </w:t>
      </w:r>
    </w:p>
    <w:p w14:paraId="03165A0C" w14:textId="77777777" w:rsidR="00E856F3" w:rsidRPr="003A2CB0" w:rsidRDefault="00E856F3"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Financial Reports: </w:t>
      </w:r>
    </w:p>
    <w:p w14:paraId="72682E3E" w14:textId="47E2E618" w:rsidR="00FC4405" w:rsidRPr="003A2CB0" w:rsidRDefault="00E856F3" w:rsidP="000A6F3F">
      <w:pPr>
        <w:pStyle w:val="ListParagraph"/>
        <w:numPr>
          <w:ilvl w:val="0"/>
          <w:numId w:val="7"/>
        </w:numPr>
        <w:spacing w:line="276" w:lineRule="auto"/>
        <w:rPr>
          <w:rFonts w:ascii="Times New Roman" w:hAnsi="Times New Roman" w:cs="Arial"/>
          <w:b/>
          <w:sz w:val="24"/>
          <w:szCs w:val="24"/>
        </w:rPr>
      </w:pPr>
      <w:r w:rsidRPr="003A2CB0">
        <w:rPr>
          <w:rFonts w:ascii="Times New Roman" w:hAnsi="Times New Roman" w:cs="Arial"/>
          <w:b/>
          <w:sz w:val="24"/>
          <w:szCs w:val="24"/>
        </w:rPr>
        <w:t>Budget Report</w:t>
      </w:r>
      <w:r w:rsidR="00FC4405" w:rsidRPr="003A2CB0">
        <w:rPr>
          <w:rFonts w:ascii="Times New Roman" w:hAnsi="Times New Roman" w:cs="Arial"/>
          <w:b/>
          <w:sz w:val="24"/>
          <w:szCs w:val="24"/>
        </w:rPr>
        <w:t xml:space="preserve">, Cash Position/Review Expenditures </w:t>
      </w:r>
    </w:p>
    <w:p w14:paraId="5EF6EF0F" w14:textId="0249B5B0" w:rsidR="00002225" w:rsidRPr="003A2CB0" w:rsidRDefault="00DE0688" w:rsidP="00FC4405">
      <w:pPr>
        <w:pStyle w:val="ListParagraph"/>
        <w:numPr>
          <w:ilvl w:val="0"/>
          <w:numId w:val="7"/>
        </w:numPr>
        <w:spacing w:line="276" w:lineRule="auto"/>
        <w:rPr>
          <w:rFonts w:ascii="Times New Roman" w:hAnsi="Times New Roman" w:cs="Arial"/>
          <w:b/>
          <w:sz w:val="24"/>
          <w:szCs w:val="24"/>
        </w:rPr>
      </w:pPr>
      <w:r w:rsidRPr="003A2CB0">
        <w:rPr>
          <w:rFonts w:ascii="Times New Roman" w:hAnsi="Times New Roman" w:cs="Arial"/>
          <w:b/>
          <w:sz w:val="24"/>
          <w:szCs w:val="24"/>
        </w:rPr>
        <w:t>Report Donations</w:t>
      </w:r>
    </w:p>
    <w:p w14:paraId="5C8A8575" w14:textId="295FA11B" w:rsidR="00002225" w:rsidRDefault="0000222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Consider/Possible Action on Student Transfers</w:t>
      </w:r>
      <w:r w:rsidR="003A2CB0">
        <w:rPr>
          <w:rFonts w:ascii="Times New Roman" w:hAnsi="Times New Roman" w:cs="Arial"/>
          <w:b/>
          <w:sz w:val="24"/>
          <w:szCs w:val="24"/>
        </w:rPr>
        <w:t xml:space="preserve"> (Executive Session 551.0821)</w:t>
      </w:r>
    </w:p>
    <w:p w14:paraId="283A1CAE" w14:textId="2D29109E" w:rsidR="006B53E2" w:rsidRPr="003A2CB0" w:rsidRDefault="006B53E2" w:rsidP="00211B62">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on Student Accident Insurance for the 2025-2026 School Year</w:t>
      </w:r>
    </w:p>
    <w:p w14:paraId="5D7BDAB0" w14:textId="102F02F6" w:rsidR="003A2CB0" w:rsidRPr="003A2CB0" w:rsidRDefault="003A2CB0" w:rsidP="00211B62">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to Approve the Wellness Policy as Recommended by the SHAC Committee</w:t>
      </w:r>
    </w:p>
    <w:p w14:paraId="5C49688E" w14:textId="733DA572" w:rsidR="00D40BDD" w:rsidRDefault="00D40BDD" w:rsidP="00C31C2D">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on the Auditorium Floor, After Asbestos Abatement </w:t>
      </w:r>
    </w:p>
    <w:p w14:paraId="13F31B10" w14:textId="4731CB19" w:rsidR="00C31C2D" w:rsidRPr="003A2CB0" w:rsidRDefault="00C31C2D" w:rsidP="00C31C2D">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Consider/Possible Action on a Proposed gym renovation with Huseman Builders</w:t>
      </w:r>
    </w:p>
    <w:p w14:paraId="26EAB768" w14:textId="45C8D15E" w:rsidR="00703077" w:rsidRPr="003A2CB0" w:rsidRDefault="00631DCF" w:rsidP="00D564FD">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w:t>
      </w:r>
      <w:r w:rsidR="00B46928" w:rsidRPr="003A2CB0">
        <w:rPr>
          <w:rFonts w:ascii="Times New Roman" w:hAnsi="Times New Roman" w:cs="Arial"/>
          <w:b/>
          <w:sz w:val="24"/>
          <w:szCs w:val="24"/>
        </w:rPr>
        <w:t>/</w:t>
      </w:r>
      <w:r w:rsidRPr="003A2CB0">
        <w:rPr>
          <w:rFonts w:ascii="Times New Roman" w:hAnsi="Times New Roman" w:cs="Arial"/>
          <w:b/>
          <w:sz w:val="24"/>
          <w:szCs w:val="24"/>
        </w:rPr>
        <w:t xml:space="preserve"> Possible Action on Matters Related to School Safety (Executive Session 551.076)</w:t>
      </w:r>
    </w:p>
    <w:p w14:paraId="2DE0CA6C" w14:textId="14BC4FF6" w:rsidR="00FC4405" w:rsidRDefault="00FC4405" w:rsidP="009A294E">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Consider/Possible Action on Personnel New Hires (Executive Session 551.074)</w:t>
      </w:r>
    </w:p>
    <w:p w14:paraId="26C09169" w14:textId="4637F11B" w:rsidR="003A2CB0" w:rsidRPr="003A2CB0" w:rsidRDefault="003A2CB0"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Actions on Resignations</w:t>
      </w:r>
    </w:p>
    <w:p w14:paraId="238BBB57" w14:textId="2AEEAD65" w:rsidR="009A661F" w:rsidRPr="003A2CB0" w:rsidRDefault="00F43556" w:rsidP="009A294E">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Consider/Possible Action </w:t>
      </w:r>
      <w:r w:rsidR="00890455" w:rsidRPr="003A2CB0">
        <w:rPr>
          <w:rFonts w:ascii="Times New Roman" w:hAnsi="Times New Roman" w:cs="Arial"/>
          <w:b/>
          <w:sz w:val="24"/>
          <w:szCs w:val="24"/>
        </w:rPr>
        <w:t xml:space="preserve">to set a date and time for the </w:t>
      </w:r>
      <w:r w:rsidR="003A2CB0">
        <w:rPr>
          <w:rFonts w:ascii="Times New Roman" w:hAnsi="Times New Roman" w:cs="Arial"/>
          <w:b/>
          <w:sz w:val="24"/>
          <w:szCs w:val="24"/>
        </w:rPr>
        <w:t>June</w:t>
      </w:r>
      <w:r w:rsidR="005424F3" w:rsidRPr="003A2CB0">
        <w:rPr>
          <w:rFonts w:ascii="Times New Roman" w:hAnsi="Times New Roman" w:cs="Arial"/>
          <w:b/>
          <w:sz w:val="24"/>
          <w:szCs w:val="24"/>
        </w:rPr>
        <w:t xml:space="preserve"> Regular </w:t>
      </w:r>
      <w:r w:rsidR="00890455" w:rsidRPr="003A2CB0">
        <w:rPr>
          <w:rFonts w:ascii="Times New Roman" w:hAnsi="Times New Roman" w:cs="Arial"/>
          <w:b/>
          <w:sz w:val="24"/>
          <w:szCs w:val="24"/>
        </w:rPr>
        <w:t xml:space="preserve">Board meeting </w:t>
      </w:r>
    </w:p>
    <w:p w14:paraId="429EAC28" w14:textId="77777777" w:rsidR="000E52B5" w:rsidRPr="003A2CB0" w:rsidRDefault="000E52B5" w:rsidP="009A294E">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Superintendent Report</w:t>
      </w:r>
    </w:p>
    <w:p w14:paraId="5C3F532C" w14:textId="53EBE83D" w:rsidR="005E0008" w:rsidRPr="003A2CB0" w:rsidRDefault="000E52B5"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Enrollment </w:t>
      </w:r>
      <w:r w:rsidR="00CF5751" w:rsidRPr="003A2CB0">
        <w:rPr>
          <w:rFonts w:ascii="Times New Roman" w:hAnsi="Times New Roman" w:cs="Arial"/>
          <w:b/>
          <w:sz w:val="24"/>
          <w:szCs w:val="24"/>
        </w:rPr>
        <w:t>Report: 12</w:t>
      </w:r>
      <w:r w:rsidR="00C31C2D" w:rsidRPr="003A2CB0">
        <w:rPr>
          <w:rFonts w:ascii="Times New Roman" w:hAnsi="Times New Roman" w:cs="Arial"/>
          <w:b/>
          <w:sz w:val="24"/>
          <w:szCs w:val="24"/>
        </w:rPr>
        <w:t>1</w:t>
      </w:r>
    </w:p>
    <w:p w14:paraId="04669442" w14:textId="7249CEE9" w:rsidR="008A7689" w:rsidRPr="003A2CB0" w:rsidRDefault="00797864"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Principals </w:t>
      </w:r>
      <w:r w:rsidR="008A7689" w:rsidRPr="003A2CB0">
        <w:rPr>
          <w:rFonts w:ascii="Times New Roman" w:hAnsi="Times New Roman" w:cs="Arial"/>
          <w:b/>
          <w:sz w:val="24"/>
          <w:szCs w:val="24"/>
        </w:rPr>
        <w:t>Student Activity Report</w:t>
      </w:r>
    </w:p>
    <w:p w14:paraId="6E525036" w14:textId="0AD1FBBA" w:rsidR="00B06C6E" w:rsidRPr="003A2CB0" w:rsidRDefault="008A7689"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Facilities/Operations</w:t>
      </w:r>
      <w:r w:rsidR="00963B5D">
        <w:rPr>
          <w:rFonts w:ascii="Times New Roman" w:hAnsi="Times New Roman" w:cs="Arial"/>
          <w:b/>
          <w:sz w:val="24"/>
          <w:szCs w:val="24"/>
        </w:rPr>
        <w:t>/Legislative Report</w:t>
      </w:r>
    </w:p>
    <w:p w14:paraId="244CF35B" w14:textId="6C92B3CF"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6652F4C9"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0B5E2F">
        <w:rPr>
          <w:rFonts w:ascii="Times New Roman" w:hAnsi="Times New Roman" w:cs="Arial"/>
          <w:bCs/>
          <w:i/>
          <w:iCs/>
          <w:sz w:val="16"/>
          <w:szCs w:val="16"/>
        </w:rPr>
        <w:t>May 19th</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0C8E66DE" w14:textId="77777777" w:rsidR="00E62A95" w:rsidRDefault="00E62A95" w:rsidP="00A23312">
      <w:pPr>
        <w:rPr>
          <w:rFonts w:ascii="Times New Roman" w:hAnsi="Times New Roman" w:cs="Arial"/>
          <w:bCs/>
          <w:i/>
          <w:iCs/>
          <w:sz w:val="16"/>
          <w:szCs w:val="16"/>
        </w:rPr>
      </w:pPr>
    </w:p>
    <w:p w14:paraId="65FB5C6C" w14:textId="77777777" w:rsidR="00E62A95" w:rsidRDefault="00E62A95" w:rsidP="00A23312">
      <w:pPr>
        <w:rPr>
          <w:rFonts w:ascii="Times New Roman" w:hAnsi="Times New Roman" w:cs="Arial"/>
          <w:bCs/>
          <w:i/>
          <w:iCs/>
          <w:sz w:val="16"/>
          <w:szCs w:val="16"/>
        </w:rPr>
      </w:pPr>
    </w:p>
    <w:p w14:paraId="10DF618C" w14:textId="77777777" w:rsidR="00E62A95" w:rsidRDefault="00E62A95" w:rsidP="00A23312">
      <w:pPr>
        <w:rPr>
          <w:rFonts w:ascii="Times New Roman" w:hAnsi="Times New Roman" w:cs="Arial"/>
          <w:bCs/>
          <w:i/>
          <w:iCs/>
          <w:sz w:val="16"/>
          <w:szCs w:val="16"/>
        </w:rPr>
      </w:pPr>
    </w:p>
    <w:p w14:paraId="7F9D0EBD" w14:textId="77777777" w:rsidR="00E62A95" w:rsidRDefault="00E62A95" w:rsidP="00A23312">
      <w:pPr>
        <w:rPr>
          <w:rFonts w:ascii="Times New Roman" w:hAnsi="Times New Roman" w:cs="Arial"/>
          <w:bCs/>
          <w:i/>
          <w:iCs/>
          <w:sz w:val="16"/>
          <w:szCs w:val="16"/>
        </w:rPr>
      </w:pPr>
    </w:p>
    <w:p w14:paraId="313C8C77" w14:textId="77777777" w:rsidR="00E62A95" w:rsidRDefault="00E62A95" w:rsidP="00A23312">
      <w:pPr>
        <w:rPr>
          <w:rFonts w:ascii="Times New Roman" w:hAnsi="Times New Roman" w:cs="Arial"/>
          <w:bCs/>
          <w:i/>
          <w:iCs/>
          <w:sz w:val="16"/>
          <w:szCs w:val="16"/>
        </w:rPr>
      </w:pPr>
    </w:p>
    <w:p w14:paraId="53E6D9C5" w14:textId="77777777" w:rsidR="00E62A95" w:rsidRDefault="00E62A95" w:rsidP="00A23312">
      <w:pPr>
        <w:rPr>
          <w:rFonts w:ascii="Times New Roman" w:hAnsi="Times New Roman" w:cs="Arial"/>
          <w:bCs/>
          <w:i/>
          <w:iCs/>
          <w:sz w:val="16"/>
          <w:szCs w:val="16"/>
        </w:rPr>
      </w:pPr>
    </w:p>
    <w:p w14:paraId="79EAC19F" w14:textId="77777777" w:rsidR="00E62A95" w:rsidRDefault="00E62A95" w:rsidP="00A23312">
      <w:pPr>
        <w:rPr>
          <w:rFonts w:ascii="Times New Roman" w:hAnsi="Times New Roman" w:cs="Arial"/>
          <w:bCs/>
          <w:i/>
          <w:iCs/>
          <w:sz w:val="16"/>
          <w:szCs w:val="16"/>
        </w:rPr>
      </w:pPr>
    </w:p>
    <w:p w14:paraId="76B0511D" w14:textId="77777777" w:rsidR="00E62A95" w:rsidRDefault="00E62A95" w:rsidP="00A23312">
      <w:pPr>
        <w:rPr>
          <w:rFonts w:ascii="Times New Roman" w:hAnsi="Times New Roman" w:cs="Arial"/>
          <w:bCs/>
          <w:i/>
          <w:iCs/>
          <w:sz w:val="16"/>
          <w:szCs w:val="16"/>
        </w:rPr>
      </w:pPr>
    </w:p>
    <w:sectPr w:rsidR="00E62A9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373E979C"/>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60EC"/>
    <w:rsid w:val="00056790"/>
    <w:rsid w:val="000603C0"/>
    <w:rsid w:val="00066209"/>
    <w:rsid w:val="00067AB5"/>
    <w:rsid w:val="00072C07"/>
    <w:rsid w:val="000735D2"/>
    <w:rsid w:val="00075FAF"/>
    <w:rsid w:val="00077F62"/>
    <w:rsid w:val="000826DD"/>
    <w:rsid w:val="00082E62"/>
    <w:rsid w:val="00083036"/>
    <w:rsid w:val="00093DD7"/>
    <w:rsid w:val="000975E8"/>
    <w:rsid w:val="000A6F3F"/>
    <w:rsid w:val="000B15BD"/>
    <w:rsid w:val="000B4ECC"/>
    <w:rsid w:val="000B5E2F"/>
    <w:rsid w:val="000B6E8E"/>
    <w:rsid w:val="000C0F02"/>
    <w:rsid w:val="000C10F5"/>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F16DB"/>
    <w:rsid w:val="001F2EB8"/>
    <w:rsid w:val="00201B34"/>
    <w:rsid w:val="0020650C"/>
    <w:rsid w:val="00206DFC"/>
    <w:rsid w:val="00211B62"/>
    <w:rsid w:val="00211DB3"/>
    <w:rsid w:val="00213A4B"/>
    <w:rsid w:val="002178B9"/>
    <w:rsid w:val="002207FE"/>
    <w:rsid w:val="002237EF"/>
    <w:rsid w:val="00225407"/>
    <w:rsid w:val="00236397"/>
    <w:rsid w:val="002371A0"/>
    <w:rsid w:val="002405E7"/>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1268"/>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2323"/>
    <w:rsid w:val="00393098"/>
    <w:rsid w:val="00396F43"/>
    <w:rsid w:val="00397C50"/>
    <w:rsid w:val="003A2CB0"/>
    <w:rsid w:val="003A43C6"/>
    <w:rsid w:val="003B0FEF"/>
    <w:rsid w:val="003B6151"/>
    <w:rsid w:val="003B7C70"/>
    <w:rsid w:val="003C0859"/>
    <w:rsid w:val="003C4F49"/>
    <w:rsid w:val="003C76CA"/>
    <w:rsid w:val="003D1398"/>
    <w:rsid w:val="003D1428"/>
    <w:rsid w:val="003E1876"/>
    <w:rsid w:val="003E2A4A"/>
    <w:rsid w:val="003F20D2"/>
    <w:rsid w:val="003F2F27"/>
    <w:rsid w:val="003F43B2"/>
    <w:rsid w:val="003F688C"/>
    <w:rsid w:val="00400C44"/>
    <w:rsid w:val="00401A58"/>
    <w:rsid w:val="004045C2"/>
    <w:rsid w:val="00415F53"/>
    <w:rsid w:val="00425596"/>
    <w:rsid w:val="004312BD"/>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2EA5"/>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4FD6"/>
    <w:rsid w:val="006B53E2"/>
    <w:rsid w:val="006B76E9"/>
    <w:rsid w:val="006B7E94"/>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3077"/>
    <w:rsid w:val="00704B4C"/>
    <w:rsid w:val="007062F6"/>
    <w:rsid w:val="0070641B"/>
    <w:rsid w:val="00707E58"/>
    <w:rsid w:val="0071339F"/>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3C59"/>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71AB"/>
    <w:rsid w:val="007D7D2C"/>
    <w:rsid w:val="007E208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53E0"/>
    <w:rsid w:val="008C2B36"/>
    <w:rsid w:val="008C6E60"/>
    <w:rsid w:val="008D02B1"/>
    <w:rsid w:val="008E0944"/>
    <w:rsid w:val="008F5B9C"/>
    <w:rsid w:val="0090025A"/>
    <w:rsid w:val="009051F6"/>
    <w:rsid w:val="00905D44"/>
    <w:rsid w:val="0090773C"/>
    <w:rsid w:val="00915E21"/>
    <w:rsid w:val="00924DDE"/>
    <w:rsid w:val="009258A9"/>
    <w:rsid w:val="00925A97"/>
    <w:rsid w:val="00927D8E"/>
    <w:rsid w:val="00930F84"/>
    <w:rsid w:val="009319EC"/>
    <w:rsid w:val="00932F50"/>
    <w:rsid w:val="009339E4"/>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866B6"/>
    <w:rsid w:val="00A96131"/>
    <w:rsid w:val="00AA06F1"/>
    <w:rsid w:val="00AA079B"/>
    <w:rsid w:val="00AA0D47"/>
    <w:rsid w:val="00AA7D24"/>
    <w:rsid w:val="00AB497F"/>
    <w:rsid w:val="00AB5401"/>
    <w:rsid w:val="00AC30CE"/>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5443"/>
    <w:rsid w:val="00B27A53"/>
    <w:rsid w:val="00B351A2"/>
    <w:rsid w:val="00B36046"/>
    <w:rsid w:val="00B36BE2"/>
    <w:rsid w:val="00B376E2"/>
    <w:rsid w:val="00B40457"/>
    <w:rsid w:val="00B4355F"/>
    <w:rsid w:val="00B445FD"/>
    <w:rsid w:val="00B44F64"/>
    <w:rsid w:val="00B46928"/>
    <w:rsid w:val="00B46953"/>
    <w:rsid w:val="00B51729"/>
    <w:rsid w:val="00B5251E"/>
    <w:rsid w:val="00B52D3E"/>
    <w:rsid w:val="00B5428A"/>
    <w:rsid w:val="00B57675"/>
    <w:rsid w:val="00B653DA"/>
    <w:rsid w:val="00B666ED"/>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2162"/>
    <w:rsid w:val="00BF3330"/>
    <w:rsid w:val="00BF469D"/>
    <w:rsid w:val="00BF6F3C"/>
    <w:rsid w:val="00C0136E"/>
    <w:rsid w:val="00C01F3F"/>
    <w:rsid w:val="00C0317B"/>
    <w:rsid w:val="00C16594"/>
    <w:rsid w:val="00C16C8D"/>
    <w:rsid w:val="00C207F2"/>
    <w:rsid w:val="00C232D1"/>
    <w:rsid w:val="00C23D67"/>
    <w:rsid w:val="00C277A8"/>
    <w:rsid w:val="00C3025A"/>
    <w:rsid w:val="00C3195D"/>
    <w:rsid w:val="00C31C2D"/>
    <w:rsid w:val="00C32968"/>
    <w:rsid w:val="00C36F1A"/>
    <w:rsid w:val="00C4086F"/>
    <w:rsid w:val="00C417AD"/>
    <w:rsid w:val="00C4316F"/>
    <w:rsid w:val="00C47F4E"/>
    <w:rsid w:val="00C62A63"/>
    <w:rsid w:val="00C6335E"/>
    <w:rsid w:val="00C66E1C"/>
    <w:rsid w:val="00C70732"/>
    <w:rsid w:val="00C72F72"/>
    <w:rsid w:val="00C803AE"/>
    <w:rsid w:val="00C8243D"/>
    <w:rsid w:val="00C82B1F"/>
    <w:rsid w:val="00C82BF1"/>
    <w:rsid w:val="00CA0824"/>
    <w:rsid w:val="00CA13E1"/>
    <w:rsid w:val="00CA487E"/>
    <w:rsid w:val="00CA4A00"/>
    <w:rsid w:val="00CB37F5"/>
    <w:rsid w:val="00CB6F66"/>
    <w:rsid w:val="00CB759C"/>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ACB"/>
    <w:rsid w:val="00D360FE"/>
    <w:rsid w:val="00D369D5"/>
    <w:rsid w:val="00D40BDD"/>
    <w:rsid w:val="00D4465F"/>
    <w:rsid w:val="00D52605"/>
    <w:rsid w:val="00D534A2"/>
    <w:rsid w:val="00D5452E"/>
    <w:rsid w:val="00D564FD"/>
    <w:rsid w:val="00D56BFA"/>
    <w:rsid w:val="00D61A7D"/>
    <w:rsid w:val="00D700F6"/>
    <w:rsid w:val="00D702C7"/>
    <w:rsid w:val="00D730FA"/>
    <w:rsid w:val="00D76C98"/>
    <w:rsid w:val="00D80828"/>
    <w:rsid w:val="00D8157F"/>
    <w:rsid w:val="00D916CC"/>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2A95"/>
    <w:rsid w:val="00E6525B"/>
    <w:rsid w:val="00E668E9"/>
    <w:rsid w:val="00E67322"/>
    <w:rsid w:val="00E70093"/>
    <w:rsid w:val="00E74977"/>
    <w:rsid w:val="00E76026"/>
    <w:rsid w:val="00E856F3"/>
    <w:rsid w:val="00E87862"/>
    <w:rsid w:val="00E87B2F"/>
    <w:rsid w:val="00E918E9"/>
    <w:rsid w:val="00E92A71"/>
    <w:rsid w:val="00E93055"/>
    <w:rsid w:val="00EB2103"/>
    <w:rsid w:val="00EB47D2"/>
    <w:rsid w:val="00EC1004"/>
    <w:rsid w:val="00ED118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DD3"/>
    <w:rsid w:val="00F278C2"/>
    <w:rsid w:val="00F31AAA"/>
    <w:rsid w:val="00F33A8F"/>
    <w:rsid w:val="00F3590A"/>
    <w:rsid w:val="00F37142"/>
    <w:rsid w:val="00F4020D"/>
    <w:rsid w:val="00F42503"/>
    <w:rsid w:val="00F43556"/>
    <w:rsid w:val="00F443A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536C"/>
    <w:rsid w:val="00FB7E95"/>
    <w:rsid w:val="00FC440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5</cp:revision>
  <cp:lastPrinted>2025-05-19T16:46:00Z</cp:lastPrinted>
  <dcterms:created xsi:type="dcterms:W3CDTF">2025-05-13T15:14:00Z</dcterms:created>
  <dcterms:modified xsi:type="dcterms:W3CDTF">2025-05-19T18:08:00Z</dcterms:modified>
</cp:coreProperties>
</file>